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5EF8C">
      <w:pPr>
        <w:topLinePunct/>
        <w:spacing w:line="600" w:lineRule="exact"/>
        <w:jc w:val="right"/>
        <w:rPr>
          <w:rFonts w:hint="eastAsia" w:ascii="宋体" w:hAnsi="宋体"/>
          <w:sz w:val="30"/>
          <w:szCs w:val="30"/>
        </w:rPr>
      </w:pPr>
      <w:bookmarkStart w:id="27" w:name="_GoBack"/>
      <w:bookmarkEnd w:id="27"/>
      <w:r>
        <w:rPr>
          <w:rFonts w:hint="eastAsia" w:ascii="宋体" w:hAnsi="宋体"/>
          <w:sz w:val="30"/>
          <w:szCs w:val="30"/>
        </w:rPr>
        <w:t>编号：WX202504</w:t>
      </w:r>
      <w:r>
        <w:rPr>
          <w:rFonts w:hint="eastAsia" w:ascii="宋体" w:hAnsi="宋体"/>
          <w:sz w:val="30"/>
          <w:szCs w:val="30"/>
          <w:lang w:val="en-US" w:eastAsia="zh-CN"/>
        </w:rPr>
        <w:t>0</w:t>
      </w:r>
      <w:r>
        <w:rPr>
          <w:rFonts w:hint="eastAsia" w:ascii="宋体" w:hAnsi="宋体"/>
          <w:sz w:val="30"/>
          <w:szCs w:val="30"/>
        </w:rPr>
        <w:t>5</w:t>
      </w:r>
    </w:p>
    <w:p w14:paraId="2C93C632">
      <w:pPr>
        <w:ind w:right="105" w:rightChars="50"/>
        <w:jc w:val="center"/>
        <w:rPr>
          <w:rFonts w:hint="eastAsia" w:ascii="宋体" w:hAnsi="宋体"/>
          <w:sz w:val="72"/>
          <w:szCs w:val="72"/>
        </w:rPr>
      </w:pPr>
    </w:p>
    <w:p w14:paraId="3C273B10">
      <w:pPr>
        <w:ind w:right="105" w:rightChars="50"/>
        <w:jc w:val="center"/>
        <w:rPr>
          <w:rFonts w:hint="eastAsia" w:ascii="宋体" w:hAnsi="宋体"/>
          <w:sz w:val="44"/>
          <w:szCs w:val="44"/>
        </w:rPr>
      </w:pPr>
      <w:r>
        <w:rPr>
          <w:rFonts w:hint="eastAsia" w:ascii="宋体" w:hAnsi="宋体"/>
          <w:sz w:val="44"/>
          <w:szCs w:val="44"/>
        </w:rPr>
        <w:t>扬州市中医院手术室空调改造</w:t>
      </w:r>
    </w:p>
    <w:p w14:paraId="4811B8EB">
      <w:pPr>
        <w:ind w:right="105" w:rightChars="50"/>
        <w:jc w:val="center"/>
        <w:rPr>
          <w:rFonts w:hint="eastAsia" w:ascii="宋体" w:hAnsi="宋体"/>
          <w:sz w:val="44"/>
          <w:szCs w:val="44"/>
        </w:rPr>
      </w:pPr>
      <w:r>
        <w:rPr>
          <w:rFonts w:hint="eastAsia" w:ascii="宋体" w:hAnsi="宋体"/>
          <w:sz w:val="44"/>
          <w:szCs w:val="44"/>
        </w:rPr>
        <w:t>公开招标文件</w:t>
      </w:r>
    </w:p>
    <w:p w14:paraId="6AEFDC9F">
      <w:pPr>
        <w:pStyle w:val="2"/>
        <w:spacing w:before="156" w:after="156"/>
      </w:pPr>
    </w:p>
    <w:p w14:paraId="0EEFA405">
      <w:pPr>
        <w:ind w:right="105" w:rightChars="50"/>
        <w:jc w:val="center"/>
        <w:rPr>
          <w:rFonts w:hint="eastAsia" w:ascii="宋体" w:hAnsi="宋体"/>
          <w:sz w:val="72"/>
          <w:szCs w:val="72"/>
        </w:rPr>
      </w:pPr>
      <w:r>
        <w:rPr>
          <w:rFonts w:hint="eastAsia" w:ascii="宋体" w:hAnsi="宋体"/>
          <w:sz w:val="72"/>
          <w:szCs w:val="72"/>
        </w:rPr>
        <w:drawing>
          <wp:inline distT="0" distB="0" distL="114300" distR="114300">
            <wp:extent cx="5366385" cy="3035935"/>
            <wp:effectExtent l="0" t="0" r="13335" b="12065"/>
            <wp:docPr id="1" name="图片 1" descr="总体透视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总体透视改"/>
                    <pic:cNvPicPr>
                      <a:picLocks noChangeAspect="1"/>
                    </pic:cNvPicPr>
                  </pic:nvPicPr>
                  <pic:blipFill>
                    <a:blip r:embed="rId10"/>
                    <a:srcRect t="10367" r="3922" b="12778"/>
                    <a:stretch>
                      <a:fillRect/>
                    </a:stretch>
                  </pic:blipFill>
                  <pic:spPr>
                    <a:xfrm>
                      <a:off x="0" y="0"/>
                      <a:ext cx="5366385" cy="3035935"/>
                    </a:xfrm>
                    <a:prstGeom prst="rect">
                      <a:avLst/>
                    </a:prstGeom>
                    <a:noFill/>
                    <a:ln>
                      <a:noFill/>
                    </a:ln>
                  </pic:spPr>
                </pic:pic>
              </a:graphicData>
            </a:graphic>
          </wp:inline>
        </w:drawing>
      </w:r>
    </w:p>
    <w:p w14:paraId="1A7408CB">
      <w:pPr>
        <w:pStyle w:val="2"/>
        <w:spacing w:before="156" w:after="156"/>
      </w:pPr>
    </w:p>
    <w:p w14:paraId="70821754">
      <w:pPr>
        <w:topLinePunct/>
        <w:spacing w:line="600" w:lineRule="exact"/>
        <w:jc w:val="center"/>
        <w:rPr>
          <w:rFonts w:hint="eastAsia" w:ascii="宋体" w:hAnsi="宋体"/>
          <w:sz w:val="36"/>
          <w:szCs w:val="36"/>
        </w:rPr>
      </w:pPr>
      <w:r>
        <w:rPr>
          <w:rFonts w:hint="eastAsia" w:ascii="宋体" w:hAnsi="宋体"/>
          <w:sz w:val="36"/>
          <w:szCs w:val="36"/>
        </w:rPr>
        <w:t>扬州市中医院</w:t>
      </w:r>
    </w:p>
    <w:p w14:paraId="49C5EB93">
      <w:pPr>
        <w:topLinePunct/>
        <w:spacing w:line="600" w:lineRule="exact"/>
        <w:jc w:val="center"/>
        <w:rPr>
          <w:rFonts w:hint="eastAsia" w:ascii="宋体" w:hAnsi="宋体"/>
          <w:sz w:val="36"/>
          <w:szCs w:val="36"/>
        </w:rPr>
      </w:pPr>
      <w:r>
        <w:rPr>
          <w:rFonts w:hint="eastAsia" w:ascii="宋体" w:hAnsi="宋体"/>
          <w:sz w:val="36"/>
          <w:szCs w:val="36"/>
        </w:rPr>
        <w:t>2025年5月</w:t>
      </w:r>
    </w:p>
    <w:p w14:paraId="48EB3C32">
      <w:pPr>
        <w:spacing w:line="560" w:lineRule="exact"/>
        <w:jc w:val="center"/>
        <w:rPr>
          <w:rFonts w:hint="eastAsia" w:ascii="宋体" w:hAnsi="宋体" w:cs="Arial"/>
          <w:sz w:val="32"/>
          <w:szCs w:val="32"/>
        </w:rPr>
      </w:pPr>
    </w:p>
    <w:p w14:paraId="2BC363D3">
      <w:pPr>
        <w:pStyle w:val="19"/>
        <w:spacing w:line="520" w:lineRule="exact"/>
        <w:ind w:firstLine="480" w:firstLineChars="200"/>
        <w:jc w:val="both"/>
        <w:rPr>
          <w:rFonts w:hint="eastAsia" w:ascii="宋体" w:hAnsi="宋体" w:eastAsia="宋体"/>
          <w:sz w:val="24"/>
        </w:rPr>
        <w:sectPr>
          <w:headerReference r:id="rId4" w:type="first"/>
          <w:footerReference r:id="rId6" w:type="first"/>
          <w:headerReference r:id="rId3" w:type="default"/>
          <w:footerReference r:id="rId5" w:type="default"/>
          <w:pgSz w:w="11906" w:h="16838"/>
          <w:pgMar w:top="1418" w:right="1474" w:bottom="1021" w:left="1588" w:header="851" w:footer="567" w:gutter="0"/>
          <w:pgNumType w:start="1"/>
          <w:cols w:space="720" w:num="1"/>
          <w:titlePg/>
          <w:docGrid w:type="lines" w:linePitch="312" w:charSpace="0"/>
        </w:sectPr>
      </w:pPr>
    </w:p>
    <w:p w14:paraId="265F6D76">
      <w:pPr>
        <w:pStyle w:val="2"/>
        <w:spacing w:before="156" w:after="156" w:line="440" w:lineRule="exact"/>
        <w:jc w:val="center"/>
        <w:rPr>
          <w:rFonts w:hint="eastAsia" w:ascii="宋体" w:hAnsi="宋体"/>
          <w:b w:val="0"/>
          <w:sz w:val="36"/>
          <w:szCs w:val="36"/>
        </w:rPr>
      </w:pPr>
      <w:r>
        <w:rPr>
          <w:rFonts w:hint="eastAsia" w:ascii="宋体" w:hAnsi="宋体"/>
          <w:bCs/>
          <w:sz w:val="36"/>
          <w:szCs w:val="36"/>
          <w:highlight w:val="white"/>
        </w:rPr>
        <w:t>第一部分 招标邀请函</w:t>
      </w:r>
    </w:p>
    <w:p w14:paraId="35F701DD">
      <w:pPr>
        <w:spacing w:line="440" w:lineRule="exact"/>
        <w:ind w:firstLine="480" w:firstLineChars="200"/>
        <w:rPr>
          <w:rFonts w:hint="eastAsia" w:ascii="宋体" w:hAnsi="宋体"/>
          <w:color w:val="0000FF"/>
          <w:sz w:val="24"/>
        </w:rPr>
      </w:pPr>
      <w:bookmarkStart w:id="0" w:name="OLE_LINK1"/>
      <w:bookmarkStart w:id="1" w:name="OLE_LINK2"/>
      <w:bookmarkStart w:id="2" w:name="OLE_LINK4"/>
      <w:bookmarkStart w:id="3" w:name="OLE_LINK3"/>
      <w:r>
        <w:rPr>
          <w:rFonts w:hint="eastAsia" w:ascii="宋体" w:hAnsi="宋体"/>
          <w:color w:val="0000FF"/>
          <w:sz w:val="24"/>
        </w:rPr>
        <w:t>扬州市中医院就</w:t>
      </w:r>
      <w:r>
        <w:rPr>
          <w:rFonts w:hint="eastAsia" w:ascii="宋体" w:hAnsi="宋体"/>
          <w:color w:val="0000FF"/>
          <w:sz w:val="24"/>
          <w:u w:val="single"/>
        </w:rPr>
        <w:t>手术室空调改造</w:t>
      </w:r>
      <w:r>
        <w:rPr>
          <w:rFonts w:hint="eastAsia" w:ascii="宋体" w:hAnsi="宋体"/>
          <w:color w:val="0000FF"/>
          <w:sz w:val="24"/>
        </w:rPr>
        <w:t>项目进行公开招标，欢迎合格供应商参与招标。</w:t>
      </w:r>
    </w:p>
    <w:p w14:paraId="600F4563">
      <w:pPr>
        <w:spacing w:line="440" w:lineRule="exact"/>
        <w:ind w:firstLine="354" w:firstLineChars="147"/>
        <w:jc w:val="left"/>
        <w:outlineLvl w:val="0"/>
        <w:rPr>
          <w:rFonts w:hint="eastAsia" w:ascii="宋体" w:hAnsi="宋体"/>
          <w:b/>
          <w:color w:val="0000FF"/>
          <w:sz w:val="24"/>
        </w:rPr>
      </w:pPr>
      <w:r>
        <w:rPr>
          <w:rFonts w:hint="eastAsia" w:ascii="宋体" w:hAnsi="宋体"/>
          <w:b/>
          <w:color w:val="0000FF"/>
          <w:sz w:val="24"/>
        </w:rPr>
        <w:t>一、项目名称及编号</w:t>
      </w:r>
    </w:p>
    <w:p w14:paraId="44E5D975">
      <w:pPr>
        <w:pStyle w:val="19"/>
        <w:spacing w:line="440" w:lineRule="exact"/>
        <w:ind w:firstLine="480" w:firstLineChars="200"/>
        <w:rPr>
          <w:rFonts w:hint="eastAsia" w:ascii="宋体" w:hAnsi="宋体" w:eastAsia="宋体"/>
          <w:color w:val="0000FF"/>
          <w:sz w:val="24"/>
        </w:rPr>
      </w:pPr>
      <w:r>
        <w:rPr>
          <w:rFonts w:hint="eastAsia" w:ascii="宋体" w:hAnsi="宋体" w:eastAsia="宋体"/>
          <w:color w:val="0000FF"/>
          <w:sz w:val="24"/>
        </w:rPr>
        <w:t>1、项目名称：扬州市中医院</w:t>
      </w:r>
      <w:r>
        <w:rPr>
          <w:rFonts w:hint="eastAsia" w:ascii="宋体" w:hAnsi="宋体" w:eastAsia="宋体"/>
          <w:color w:val="0000FF"/>
          <w:sz w:val="24"/>
          <w:u w:val="single"/>
        </w:rPr>
        <w:t>手术室空调改造</w:t>
      </w:r>
      <w:r>
        <w:rPr>
          <w:rFonts w:hint="eastAsia" w:ascii="宋体" w:hAnsi="宋体" w:eastAsia="宋体"/>
          <w:color w:val="0000FF"/>
          <w:sz w:val="24"/>
        </w:rPr>
        <w:t>项目</w:t>
      </w:r>
    </w:p>
    <w:p w14:paraId="25C11AA5">
      <w:pPr>
        <w:spacing w:line="500" w:lineRule="exact"/>
        <w:ind w:firstLine="480" w:firstLineChars="200"/>
      </w:pPr>
      <w:r>
        <w:rPr>
          <w:rFonts w:hint="eastAsia" w:ascii="宋体" w:hAnsi="宋体"/>
          <w:color w:val="0000FF"/>
          <w:sz w:val="24"/>
        </w:rPr>
        <w:t>2、项目编号：WX202504</w:t>
      </w:r>
      <w:r>
        <w:rPr>
          <w:rFonts w:hint="eastAsia" w:ascii="宋体" w:hAnsi="宋体"/>
          <w:color w:val="0000FF"/>
          <w:sz w:val="24"/>
          <w:lang w:val="en-US" w:eastAsia="zh-CN"/>
        </w:rPr>
        <w:t>0</w:t>
      </w:r>
      <w:r>
        <w:rPr>
          <w:rFonts w:hint="eastAsia" w:ascii="宋体" w:hAnsi="宋体"/>
          <w:color w:val="0000FF"/>
          <w:sz w:val="24"/>
        </w:rPr>
        <w:t>5、项目内容：扬州市中医院手术室净化空调系统采用中央空调系统供冷热水与组合式空调机组相结合，满足手术区域温湿度、净化等要求。本次改造对综合楼手术室净化空调机组进行改造，对新风进行处理，提高手术室温湿度控制精准度，增加手术区域舒适度。</w:t>
      </w:r>
    </w:p>
    <w:p w14:paraId="7C280255">
      <w:pPr>
        <w:topLinePunct w:val="0"/>
        <w:spacing w:line="240" w:lineRule="auto"/>
        <w:ind w:firstLine="354" w:firstLineChars="147"/>
        <w:jc w:val="left"/>
        <w:outlineLvl w:val="0"/>
        <w:rPr>
          <w:rFonts w:hint="eastAsia" w:ascii="宋体" w:hAnsi="宋体"/>
          <w:b/>
          <w:color w:val="auto"/>
          <w:sz w:val="24"/>
        </w:rPr>
      </w:pPr>
      <w:r>
        <w:rPr>
          <w:rFonts w:hint="eastAsia" w:ascii="宋体" w:hAnsi="宋体"/>
          <w:b/>
          <w:color w:val="auto"/>
          <w:sz w:val="24"/>
        </w:rPr>
        <w:t>二、项目简要说明</w:t>
      </w:r>
    </w:p>
    <w:p w14:paraId="25EE6147">
      <w:pPr>
        <w:pStyle w:val="19"/>
        <w:spacing w:line="360" w:lineRule="auto"/>
        <w:ind w:firstLine="480" w:firstLineChars="200"/>
        <w:jc w:val="both"/>
        <w:rPr>
          <w:rFonts w:hint="eastAsia" w:ascii="宋体" w:hAnsi="宋体" w:eastAsia="宋体"/>
          <w:color w:val="0000FF"/>
          <w:sz w:val="24"/>
        </w:rPr>
      </w:pPr>
      <w:bookmarkStart w:id="4" w:name="EB9076963b694f4defa1e0710aaf4b1bae"/>
      <w:r>
        <w:rPr>
          <w:rFonts w:hint="eastAsia" w:ascii="宋体" w:hAnsi="宋体" w:eastAsia="宋体"/>
          <w:color w:val="0000FF"/>
          <w:sz w:val="24"/>
        </w:rPr>
        <w:t>1、招标内容：具体见项目需求。</w:t>
      </w:r>
    </w:p>
    <w:p w14:paraId="4516B7EF">
      <w:pPr>
        <w:spacing w:line="360" w:lineRule="auto"/>
        <w:ind w:firstLine="480" w:firstLineChars="200"/>
        <w:rPr>
          <w:rFonts w:hint="eastAsia" w:ascii="宋体" w:hAnsi="宋体"/>
          <w:color w:val="0000FF"/>
          <w:sz w:val="24"/>
          <w:szCs w:val="24"/>
        </w:rPr>
      </w:pPr>
      <w:r>
        <w:rPr>
          <w:rFonts w:hint="eastAsia" w:ascii="宋体" w:hAnsi="宋体"/>
          <w:color w:val="0000FF"/>
          <w:sz w:val="24"/>
          <w:szCs w:val="24"/>
        </w:rPr>
        <w:t>2、评标办法</w:t>
      </w:r>
      <w:r>
        <w:rPr>
          <w:rFonts w:hint="eastAsia" w:ascii="宋体" w:hAnsi="宋体"/>
          <w:color w:val="FF0000"/>
          <w:sz w:val="24"/>
          <w:szCs w:val="24"/>
        </w:rPr>
        <w:t>：综合评标法。</w:t>
      </w:r>
    </w:p>
    <w:p w14:paraId="139B2F2F">
      <w:pPr>
        <w:pStyle w:val="19"/>
        <w:spacing w:line="360" w:lineRule="auto"/>
        <w:ind w:firstLine="480" w:firstLineChars="200"/>
        <w:jc w:val="both"/>
        <w:rPr>
          <w:rFonts w:hint="eastAsia" w:ascii="宋体" w:hAnsi="宋体" w:eastAsia="宋体"/>
          <w:color w:val="0000FF"/>
          <w:sz w:val="24"/>
        </w:rPr>
      </w:pPr>
      <w:r>
        <w:rPr>
          <w:rFonts w:hint="eastAsia" w:ascii="宋体" w:hAnsi="宋体" w:eastAsia="宋体"/>
          <w:color w:val="0000FF"/>
          <w:sz w:val="24"/>
        </w:rPr>
        <w:t>3、项目预算：</w:t>
      </w:r>
      <w:r>
        <w:rPr>
          <w:rFonts w:hint="eastAsia" w:ascii="宋体" w:hAnsi="宋体" w:eastAsia="宋体"/>
          <w:color w:val="0000FF"/>
          <w:sz w:val="24"/>
          <w:u w:val="single"/>
        </w:rPr>
        <w:t xml:space="preserve"> 28 </w:t>
      </w:r>
      <w:r>
        <w:rPr>
          <w:rFonts w:hint="eastAsia" w:ascii="宋体" w:hAnsi="宋体" w:eastAsia="宋体"/>
          <w:color w:val="0000FF"/>
          <w:sz w:val="24"/>
        </w:rPr>
        <w:t>万元。</w:t>
      </w:r>
    </w:p>
    <w:p w14:paraId="436DCC01">
      <w:pPr>
        <w:pStyle w:val="19"/>
        <w:spacing w:line="360" w:lineRule="auto"/>
        <w:ind w:firstLine="480" w:firstLineChars="200"/>
        <w:jc w:val="both"/>
        <w:rPr>
          <w:rFonts w:hint="eastAsia" w:ascii="宋体" w:hAnsi="宋体" w:eastAsia="宋体"/>
          <w:color w:val="0000FF"/>
          <w:sz w:val="24"/>
        </w:rPr>
      </w:pPr>
      <w:r>
        <w:rPr>
          <w:rFonts w:hint="eastAsia" w:ascii="宋体" w:hAnsi="宋体" w:eastAsia="宋体"/>
          <w:color w:val="0000FF"/>
          <w:sz w:val="24"/>
        </w:rPr>
        <w:t>4、最高限价：同预算。</w:t>
      </w:r>
    </w:p>
    <w:p w14:paraId="66382976">
      <w:pPr>
        <w:pStyle w:val="19"/>
        <w:spacing w:line="360" w:lineRule="auto"/>
        <w:ind w:firstLine="480" w:firstLineChars="200"/>
        <w:jc w:val="both"/>
        <w:rPr>
          <w:rFonts w:hint="eastAsia" w:ascii="宋体" w:hAnsi="宋体" w:eastAsia="宋体"/>
          <w:color w:val="0000FF"/>
          <w:sz w:val="24"/>
        </w:rPr>
      </w:pPr>
      <w:r>
        <w:rPr>
          <w:rFonts w:hint="eastAsia" w:ascii="宋体" w:hAnsi="宋体" w:eastAsia="宋体"/>
          <w:color w:val="0000FF"/>
          <w:sz w:val="24"/>
        </w:rPr>
        <w:t>5、合同工期：15天。</w:t>
      </w:r>
    </w:p>
    <w:bookmarkEnd w:id="4"/>
    <w:p w14:paraId="139B91AD">
      <w:pPr>
        <w:spacing w:line="440" w:lineRule="exact"/>
        <w:ind w:firstLine="354" w:firstLineChars="147"/>
        <w:jc w:val="left"/>
        <w:outlineLvl w:val="0"/>
        <w:rPr>
          <w:rFonts w:hint="eastAsia" w:ascii="宋体" w:hAnsi="宋体"/>
          <w:b/>
          <w:sz w:val="24"/>
        </w:rPr>
      </w:pPr>
      <w:r>
        <w:rPr>
          <w:rFonts w:hint="eastAsia" w:ascii="宋体" w:hAnsi="宋体"/>
          <w:b/>
          <w:sz w:val="24"/>
        </w:rPr>
        <w:t>三、合格招标供应商资格要求</w:t>
      </w:r>
    </w:p>
    <w:p w14:paraId="52304C59">
      <w:pPr>
        <w:autoSpaceDE w:val="0"/>
        <w:autoSpaceDN w:val="0"/>
        <w:adjustRightInd w:val="0"/>
        <w:spacing w:line="440" w:lineRule="exact"/>
        <w:ind w:firstLine="480"/>
        <w:jc w:val="left"/>
        <w:rPr>
          <w:rFonts w:hint="eastAsia" w:ascii="宋体" w:hAnsi="宋体" w:cs="仿宋"/>
          <w:kern w:val="0"/>
          <w:sz w:val="24"/>
        </w:rPr>
      </w:pPr>
      <w:r>
        <w:rPr>
          <w:rFonts w:hint="eastAsia" w:ascii="宋体" w:hAnsi="宋体" w:cs="仿宋"/>
          <w:kern w:val="0"/>
          <w:sz w:val="24"/>
        </w:rPr>
        <w:t>（一）提供以下证明材料：</w:t>
      </w:r>
    </w:p>
    <w:p w14:paraId="21EDDC82">
      <w:pPr>
        <w:autoSpaceDE w:val="0"/>
        <w:autoSpaceDN w:val="0"/>
        <w:adjustRightInd w:val="0"/>
        <w:spacing w:line="440" w:lineRule="exact"/>
        <w:ind w:firstLine="480"/>
        <w:jc w:val="left"/>
        <w:rPr>
          <w:rFonts w:hint="eastAsia" w:ascii="宋体" w:hAnsi="宋体"/>
          <w:color w:val="FF0000"/>
          <w:sz w:val="24"/>
        </w:rPr>
      </w:pPr>
      <w:r>
        <w:rPr>
          <w:rFonts w:hint="eastAsia" w:ascii="宋体" w:hAnsi="宋体" w:cs="仿宋"/>
          <w:color w:val="FF0000"/>
          <w:kern w:val="0"/>
          <w:sz w:val="24"/>
        </w:rPr>
        <w:t>1、</w:t>
      </w:r>
      <w:r>
        <w:rPr>
          <w:rFonts w:hint="eastAsia" w:ascii="宋体" w:hAnsi="宋体"/>
          <w:color w:val="FF0000"/>
          <w:sz w:val="24"/>
        </w:rPr>
        <w:t>法定代表人或其授权代理人签署的响应函（原件）；</w:t>
      </w:r>
    </w:p>
    <w:p w14:paraId="3D312977">
      <w:pPr>
        <w:autoSpaceDE w:val="0"/>
        <w:autoSpaceDN w:val="0"/>
        <w:adjustRightInd w:val="0"/>
        <w:spacing w:line="440" w:lineRule="exact"/>
        <w:ind w:firstLine="480"/>
        <w:jc w:val="left"/>
        <w:rPr>
          <w:rFonts w:hint="eastAsia" w:ascii="宋体" w:hAnsi="宋体"/>
          <w:color w:val="FF0000"/>
          <w:sz w:val="24"/>
        </w:rPr>
      </w:pPr>
      <w:r>
        <w:rPr>
          <w:rFonts w:hint="eastAsia" w:ascii="宋体" w:hAnsi="宋体"/>
          <w:color w:val="FF0000"/>
          <w:sz w:val="24"/>
        </w:rPr>
        <w:t>2、法人代表证明或法定代表人授权委托书原件及法人代表和授权委托人身份证复印件（盖公章）；</w:t>
      </w:r>
    </w:p>
    <w:p w14:paraId="22108396">
      <w:pPr>
        <w:autoSpaceDE w:val="0"/>
        <w:autoSpaceDN w:val="0"/>
        <w:adjustRightInd w:val="0"/>
        <w:spacing w:line="440" w:lineRule="exact"/>
        <w:ind w:firstLine="480"/>
        <w:jc w:val="left"/>
        <w:rPr>
          <w:rFonts w:hint="eastAsia" w:ascii="宋体" w:hAnsi="宋体" w:cs="仿宋"/>
          <w:color w:val="FF0000"/>
          <w:kern w:val="0"/>
          <w:sz w:val="24"/>
        </w:rPr>
      </w:pPr>
      <w:r>
        <w:rPr>
          <w:rFonts w:hint="eastAsia" w:ascii="宋体" w:hAnsi="宋体"/>
          <w:color w:val="FF0000"/>
          <w:sz w:val="24"/>
        </w:rPr>
        <w:t>3、</w:t>
      </w:r>
      <w:r>
        <w:rPr>
          <w:rFonts w:hint="eastAsia" w:ascii="宋体" w:hAnsi="宋体" w:cs="仿宋"/>
          <w:color w:val="FF0000"/>
          <w:kern w:val="0"/>
          <w:sz w:val="24"/>
        </w:rPr>
        <w:t>法人或者其他组织营业执照副本（复印件盖公章）；</w:t>
      </w:r>
    </w:p>
    <w:p w14:paraId="016F436C">
      <w:pPr>
        <w:spacing w:line="500" w:lineRule="exact"/>
        <w:ind w:firstLine="480" w:firstLineChars="200"/>
        <w:rPr>
          <w:rFonts w:hint="eastAsia" w:ascii="宋体" w:hAnsi="宋体" w:cs="仿宋"/>
          <w:kern w:val="0"/>
          <w:sz w:val="24"/>
        </w:rPr>
      </w:pPr>
      <w:r>
        <w:rPr>
          <w:rFonts w:hint="eastAsia" w:ascii="宋体" w:hAnsi="宋体" w:cs="仿宋"/>
          <w:kern w:val="0"/>
          <w:sz w:val="24"/>
        </w:rPr>
        <w:t>（二）未被列入失信被执行人、重大税收违法案件当事人名单、政府采购严重违法失信行为记录名单（以本公告“四、响应人信用信息”查询结果为准）。</w:t>
      </w:r>
    </w:p>
    <w:p w14:paraId="247A3A16">
      <w:pPr>
        <w:spacing w:line="500" w:lineRule="exact"/>
        <w:ind w:firstLine="480" w:firstLineChars="200"/>
        <w:rPr>
          <w:rFonts w:hint="eastAsia" w:ascii="宋体" w:hAnsi="宋体" w:cs="仿宋"/>
          <w:kern w:val="0"/>
          <w:sz w:val="24"/>
        </w:rPr>
      </w:pPr>
      <w:r>
        <w:rPr>
          <w:rFonts w:hint="eastAsia" w:ascii="宋体" w:hAnsi="宋体" w:cs="仿宋"/>
          <w:kern w:val="0"/>
          <w:sz w:val="24"/>
        </w:rPr>
        <w:t>（三）本项目不接受联合体响应。</w:t>
      </w:r>
    </w:p>
    <w:p w14:paraId="00132C26">
      <w:pPr>
        <w:spacing w:line="500" w:lineRule="exact"/>
        <w:ind w:firstLine="480" w:firstLineChars="200"/>
        <w:rPr>
          <w:rFonts w:hint="eastAsia" w:ascii="宋体" w:hAnsi="宋体" w:cs="仿宋"/>
          <w:kern w:val="0"/>
          <w:sz w:val="24"/>
        </w:rPr>
      </w:pPr>
      <w:r>
        <w:rPr>
          <w:rFonts w:hint="eastAsia" w:ascii="宋体" w:hAnsi="宋体" w:cs="仿宋"/>
          <w:kern w:val="0"/>
          <w:sz w:val="24"/>
        </w:rPr>
        <w:t>单位负责人为同一人或存在控股、管理关系的不同供应商，不得参加本项目同一合同项下的招标活动。否则，相关招标申请均将被拒绝。</w:t>
      </w:r>
    </w:p>
    <w:bookmarkEnd w:id="0"/>
    <w:bookmarkEnd w:id="1"/>
    <w:p w14:paraId="7A9157B9">
      <w:pPr>
        <w:spacing w:line="440" w:lineRule="exact"/>
        <w:ind w:firstLine="354" w:firstLineChars="147"/>
        <w:jc w:val="left"/>
        <w:outlineLvl w:val="0"/>
        <w:rPr>
          <w:rFonts w:hint="eastAsia" w:ascii="宋体" w:hAnsi="宋体"/>
          <w:b/>
          <w:sz w:val="24"/>
        </w:rPr>
      </w:pPr>
      <w:r>
        <w:rPr>
          <w:rFonts w:hint="eastAsia" w:ascii="宋体" w:hAnsi="宋体"/>
          <w:b/>
          <w:sz w:val="24"/>
        </w:rPr>
        <w:t>四、响应人信用信息</w:t>
      </w:r>
    </w:p>
    <w:p w14:paraId="34DF5952">
      <w:pPr>
        <w:spacing w:line="500" w:lineRule="exact"/>
        <w:ind w:firstLine="480" w:firstLineChars="200"/>
        <w:rPr>
          <w:rFonts w:hint="eastAsia" w:ascii="宋体" w:hAnsi="宋体"/>
          <w:sz w:val="24"/>
        </w:rPr>
      </w:pPr>
      <w:bookmarkStart w:id="5" w:name="EB9e6dce6793cb41cca0a716f513793ffa"/>
      <w:r>
        <w:rPr>
          <w:rFonts w:hint="eastAsia" w:ascii="宋体" w:hAnsi="宋体"/>
          <w:sz w:val="24"/>
        </w:rPr>
        <w:t>（一）信用信息查询渠道为：“信用中国”网（www.creditchina.gov.cn）、“中国政府采购”网（www.ccgp.gov.cn）、扬州市政府采购网（</w:t>
      </w:r>
      <w:r>
        <w:rPr>
          <w:rFonts w:ascii="宋体" w:hAnsi="宋体"/>
          <w:sz w:val="24"/>
        </w:rPr>
        <w:t>http://zfcg.yangzhou.gov.cn/</w:t>
      </w:r>
      <w:r>
        <w:rPr>
          <w:rFonts w:hint="eastAsia" w:ascii="宋体" w:hAnsi="宋体"/>
          <w:sz w:val="24"/>
        </w:rPr>
        <w:t>）。</w:t>
      </w:r>
    </w:p>
    <w:p w14:paraId="77726718">
      <w:pPr>
        <w:pStyle w:val="154"/>
        <w:widowControl/>
        <w:spacing w:line="360" w:lineRule="auto"/>
        <w:ind w:firstLine="480"/>
        <w:jc w:val="left"/>
        <w:rPr>
          <w:rFonts w:hint="eastAsia" w:ascii="宋体" w:hAnsi="宋体"/>
          <w:sz w:val="24"/>
        </w:rPr>
      </w:pPr>
      <w:r>
        <w:rPr>
          <w:rFonts w:hint="eastAsia" w:ascii="宋体" w:hAnsi="宋体"/>
          <w:sz w:val="24"/>
        </w:rPr>
        <w:t>（二）</w:t>
      </w:r>
      <w:r>
        <w:rPr>
          <w:rFonts w:hint="eastAsia" w:ascii="宋体" w:hAnsi="宋体"/>
          <w:kern w:val="2"/>
          <w:sz w:val="24"/>
        </w:rPr>
        <w:t>供应商信用承诺书（原件加盖供应商公章）。</w:t>
      </w:r>
      <w:r>
        <w:rPr>
          <w:rFonts w:hint="eastAsia" w:ascii="宋体" w:hAnsi="宋体"/>
          <w:sz w:val="24"/>
        </w:rPr>
        <w:t>信用信息查询截止时点：资格审查结束前。</w:t>
      </w:r>
    </w:p>
    <w:p w14:paraId="7AE9E86B">
      <w:pPr>
        <w:spacing w:line="500" w:lineRule="exact"/>
        <w:ind w:firstLine="480" w:firstLineChars="200"/>
        <w:rPr>
          <w:rFonts w:hint="eastAsia" w:ascii="宋体" w:hAnsi="宋体"/>
          <w:sz w:val="24"/>
        </w:rPr>
      </w:pPr>
      <w:r>
        <w:rPr>
          <w:rFonts w:hint="eastAsia" w:ascii="宋体" w:hAnsi="宋体"/>
          <w:sz w:val="24"/>
        </w:rPr>
        <w:t>（三）信用信息查询记录和证据留存的方式：由招标人在招标现场查询信用信息，网页截屏打印，与其他招标文件一并保存。网页截屏应当留有（或注明）查询时点的网页地址和网络时间标记。信用查询记录（网页截屏和《政府采购信用信息查询使用情况说明》）由招标人授权的经办人签字确认。</w:t>
      </w:r>
    </w:p>
    <w:p w14:paraId="7A8655DE">
      <w:pPr>
        <w:spacing w:line="500" w:lineRule="exact"/>
        <w:ind w:firstLine="480" w:firstLineChars="200"/>
        <w:rPr>
          <w:rFonts w:hint="eastAsia" w:ascii="宋体" w:hAnsi="宋体"/>
          <w:sz w:val="24"/>
        </w:rPr>
      </w:pPr>
      <w:r>
        <w:rPr>
          <w:rFonts w:hint="eastAsia" w:ascii="宋体" w:hAnsi="宋体"/>
          <w:sz w:val="24"/>
        </w:rPr>
        <w:t>（四）信用信息的使用规则：招标人对响应人信用记录进行甄别，对列入失信被执行人、重大税收违法案件当事人名单、政府采购严重违法失信行为记录名单，拒绝其参与招标活动。</w:t>
      </w:r>
      <w:bookmarkEnd w:id="5"/>
    </w:p>
    <w:p w14:paraId="0E990F60">
      <w:pPr>
        <w:spacing w:line="440" w:lineRule="exact"/>
        <w:ind w:firstLine="354" w:firstLineChars="147"/>
        <w:jc w:val="left"/>
        <w:outlineLvl w:val="0"/>
        <w:rPr>
          <w:rFonts w:hint="eastAsia" w:ascii="宋体" w:hAnsi="宋体"/>
          <w:b/>
          <w:sz w:val="24"/>
        </w:rPr>
      </w:pPr>
      <w:bookmarkStart w:id="6" w:name="_Toc19738"/>
      <w:r>
        <w:rPr>
          <w:rFonts w:hint="eastAsia" w:ascii="宋体" w:hAnsi="宋体"/>
          <w:b/>
          <w:sz w:val="24"/>
        </w:rPr>
        <w:t>五、报名及招标文件获取信息</w:t>
      </w:r>
      <w:bookmarkEnd w:id="6"/>
    </w:p>
    <w:p w14:paraId="20EF94BE">
      <w:pPr>
        <w:spacing w:line="44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sz w:val="24"/>
        </w:rPr>
        <w:t>报名</w:t>
      </w:r>
      <w:r>
        <w:rPr>
          <w:rFonts w:hint="eastAsia" w:ascii="宋体" w:hAnsi="宋体"/>
          <w:color w:val="000000"/>
          <w:sz w:val="24"/>
        </w:rPr>
        <w:t>时间：</w:t>
      </w:r>
      <w:r>
        <w:rPr>
          <w:rFonts w:hint="eastAsia" w:ascii="宋体" w:hAnsi="宋体"/>
          <w:color w:val="FF0000"/>
          <w:sz w:val="24"/>
        </w:rPr>
        <w:t xml:space="preserve"> 截止至2025年</w:t>
      </w:r>
      <w:r>
        <w:rPr>
          <w:rFonts w:hint="eastAsia" w:ascii="宋体" w:hAnsi="宋体"/>
          <w:color w:val="FF0000"/>
          <w:sz w:val="24"/>
          <w:lang w:val="en-US" w:eastAsia="zh-CN"/>
        </w:rPr>
        <w:t>6</w:t>
      </w:r>
      <w:r>
        <w:rPr>
          <w:rFonts w:hint="eastAsia" w:ascii="宋体" w:hAnsi="宋体"/>
          <w:color w:val="FF0000"/>
          <w:sz w:val="24"/>
        </w:rPr>
        <w:t>月5日1</w:t>
      </w:r>
      <w:r>
        <w:rPr>
          <w:rFonts w:hint="eastAsia" w:ascii="宋体" w:hAnsi="宋体"/>
          <w:color w:val="FF0000"/>
          <w:sz w:val="24"/>
          <w:lang w:val="en-US" w:eastAsia="zh-CN"/>
        </w:rPr>
        <w:t>1</w:t>
      </w:r>
      <w:r>
        <w:rPr>
          <w:rFonts w:hint="eastAsia" w:ascii="宋体" w:hAnsi="宋体"/>
          <w:color w:val="FF0000"/>
          <w:sz w:val="24"/>
        </w:rPr>
        <w:t>:</w:t>
      </w:r>
      <w:r>
        <w:rPr>
          <w:rFonts w:hint="eastAsia" w:ascii="宋体" w:hAnsi="宋体"/>
          <w:color w:val="FF0000"/>
          <w:sz w:val="24"/>
          <w:lang w:val="en-US" w:eastAsia="zh-CN"/>
        </w:rPr>
        <w:t>0</w:t>
      </w:r>
      <w:r>
        <w:rPr>
          <w:rFonts w:hint="eastAsia" w:ascii="宋体" w:hAnsi="宋体"/>
          <w:color w:val="FF0000"/>
          <w:sz w:val="24"/>
        </w:rPr>
        <w:t>0；</w:t>
      </w:r>
    </w:p>
    <w:p w14:paraId="2229FFB6">
      <w:pPr>
        <w:spacing w:line="440" w:lineRule="exact"/>
        <w:ind w:firstLine="480" w:firstLineChars="200"/>
        <w:rPr>
          <w:rFonts w:hint="eastAsia" w:ascii="宋体" w:hAnsi="宋体" w:cs="宋体"/>
          <w:kern w:val="0"/>
          <w:sz w:val="24"/>
        </w:rPr>
      </w:pPr>
      <w:r>
        <w:rPr>
          <w:rFonts w:hint="eastAsia" w:ascii="宋体" w:hAnsi="宋体" w:cs="宋体"/>
          <w:kern w:val="0"/>
          <w:sz w:val="24"/>
        </w:rPr>
        <w:t>2、报名方式：</w:t>
      </w:r>
      <w:r>
        <w:rPr>
          <w:rFonts w:hint="eastAsia" w:ascii="宋体" w:hAnsi="宋体"/>
          <w:color w:val="000000"/>
          <w:sz w:val="24"/>
        </w:rPr>
        <w:t>请将企业营业执照</w:t>
      </w:r>
      <w:r>
        <w:rPr>
          <w:rFonts w:hint="eastAsia" w:ascii="宋体" w:hAnsi="宋体" w:cs="仿宋"/>
          <w:color w:val="000000"/>
          <w:kern w:val="0"/>
          <w:sz w:val="24"/>
        </w:rPr>
        <w:t>（扫描件）</w:t>
      </w:r>
      <w:r>
        <w:rPr>
          <w:rFonts w:hint="eastAsia" w:ascii="宋体" w:hAnsi="宋体"/>
          <w:color w:val="000000"/>
          <w:sz w:val="24"/>
        </w:rPr>
        <w:t>、联系人及电话发送至邮箱：matianci86@163.com</w:t>
      </w:r>
      <w:r>
        <w:rPr>
          <w:rFonts w:hint="eastAsia" w:ascii="宋体" w:hAnsi="宋体"/>
          <w:color w:val="000000"/>
          <w:sz w:val="24"/>
          <w:szCs w:val="24"/>
        </w:rPr>
        <w:t>。</w:t>
      </w:r>
      <w:r>
        <w:rPr>
          <w:rFonts w:hint="eastAsia" w:ascii="宋体" w:hAnsi="宋体"/>
          <w:color w:val="000000"/>
          <w:sz w:val="24"/>
        </w:rPr>
        <w:t>标题注明报名的项目名称及本公司名称。</w:t>
      </w:r>
    </w:p>
    <w:p w14:paraId="4043B5EB">
      <w:pPr>
        <w:spacing w:line="440" w:lineRule="exact"/>
        <w:ind w:firstLine="480" w:firstLineChars="200"/>
        <w:rPr>
          <w:rFonts w:hint="eastAsia" w:ascii="宋体" w:hAnsi="宋体" w:cs="宋体"/>
          <w:kern w:val="0"/>
          <w:sz w:val="24"/>
        </w:rPr>
      </w:pPr>
      <w:r>
        <w:rPr>
          <w:rFonts w:hint="eastAsia" w:ascii="宋体" w:hAnsi="宋体" w:cs="宋体"/>
          <w:color w:val="000000"/>
          <w:kern w:val="0"/>
          <w:sz w:val="24"/>
        </w:rPr>
        <w:t>3、招标文件获取方式：招标文件见附件，请自行免费下载。</w:t>
      </w:r>
    </w:p>
    <w:p w14:paraId="00A6D92F">
      <w:pPr>
        <w:spacing w:line="440" w:lineRule="exact"/>
        <w:ind w:firstLine="354" w:firstLineChars="147"/>
        <w:jc w:val="left"/>
        <w:outlineLvl w:val="0"/>
        <w:rPr>
          <w:rFonts w:hint="eastAsia" w:ascii="宋体" w:hAnsi="宋体"/>
          <w:b/>
          <w:color w:val="000000"/>
          <w:sz w:val="24"/>
        </w:rPr>
      </w:pPr>
      <w:bookmarkStart w:id="7" w:name="_Toc21671"/>
      <w:r>
        <w:rPr>
          <w:rFonts w:hint="eastAsia" w:ascii="宋体" w:hAnsi="宋体"/>
          <w:b/>
          <w:color w:val="000000"/>
          <w:sz w:val="24"/>
        </w:rPr>
        <w:t>六、响应文件接收信息</w:t>
      </w:r>
      <w:bookmarkEnd w:id="7"/>
    </w:p>
    <w:p w14:paraId="1BE68744">
      <w:pPr>
        <w:spacing w:line="440" w:lineRule="exact"/>
        <w:ind w:firstLine="480" w:firstLineChars="200"/>
        <w:rPr>
          <w:rFonts w:hint="eastAsia" w:ascii="宋体" w:hAnsi="宋体" w:cs="仿宋"/>
          <w:color w:val="FF0000"/>
          <w:kern w:val="0"/>
          <w:sz w:val="24"/>
        </w:rPr>
      </w:pPr>
      <w:r>
        <w:rPr>
          <w:rFonts w:hint="eastAsia" w:ascii="宋体" w:hAnsi="宋体" w:cs="仿宋"/>
          <w:color w:val="000000"/>
          <w:kern w:val="0"/>
          <w:sz w:val="24"/>
        </w:rPr>
        <w:t>1、响应文件开始接收时间：</w:t>
      </w:r>
      <w:r>
        <w:rPr>
          <w:rFonts w:hint="eastAsia" w:ascii="宋体" w:hAnsi="宋体" w:cs="仿宋"/>
          <w:color w:val="FF0000"/>
          <w:kern w:val="0"/>
          <w:sz w:val="24"/>
        </w:rPr>
        <w:t xml:space="preserve"> 2025年</w:t>
      </w:r>
      <w:r>
        <w:rPr>
          <w:rFonts w:hint="eastAsia" w:ascii="宋体" w:hAnsi="宋体" w:cs="仿宋"/>
          <w:color w:val="FF0000"/>
          <w:kern w:val="0"/>
          <w:sz w:val="24"/>
          <w:lang w:val="en-US" w:eastAsia="zh-CN"/>
        </w:rPr>
        <w:t>6</w:t>
      </w:r>
      <w:r>
        <w:rPr>
          <w:rFonts w:hint="eastAsia" w:ascii="宋体" w:hAnsi="宋体" w:cs="仿宋"/>
          <w:color w:val="FF0000"/>
          <w:kern w:val="0"/>
          <w:sz w:val="24"/>
        </w:rPr>
        <w:t>月</w:t>
      </w:r>
      <w:r>
        <w:rPr>
          <w:rFonts w:hint="eastAsia" w:ascii="宋体" w:hAnsi="宋体" w:cs="仿宋"/>
          <w:color w:val="FF0000"/>
          <w:kern w:val="0"/>
          <w:sz w:val="24"/>
          <w:lang w:val="en-US" w:eastAsia="zh-CN"/>
        </w:rPr>
        <w:t>6</w:t>
      </w:r>
      <w:r>
        <w:rPr>
          <w:rFonts w:hint="eastAsia" w:ascii="宋体" w:hAnsi="宋体" w:cs="仿宋"/>
          <w:color w:val="FF0000"/>
          <w:kern w:val="0"/>
          <w:sz w:val="24"/>
        </w:rPr>
        <w:t>日15:00</w:t>
      </w:r>
    </w:p>
    <w:p w14:paraId="75DFEF1A">
      <w:pPr>
        <w:spacing w:line="440" w:lineRule="exact"/>
        <w:ind w:firstLine="480" w:firstLineChars="200"/>
        <w:rPr>
          <w:rFonts w:hint="eastAsia" w:ascii="宋体" w:hAnsi="宋体" w:cs="仿宋"/>
          <w:color w:val="FF0000"/>
          <w:kern w:val="0"/>
          <w:sz w:val="24"/>
        </w:rPr>
      </w:pPr>
      <w:r>
        <w:rPr>
          <w:rFonts w:hint="eastAsia" w:ascii="宋体" w:hAnsi="宋体" w:cs="仿宋"/>
          <w:color w:val="000000"/>
          <w:kern w:val="0"/>
          <w:sz w:val="24"/>
        </w:rPr>
        <w:t>2、响应文件接收截止时间及开标时间：</w:t>
      </w:r>
      <w:r>
        <w:rPr>
          <w:rFonts w:hint="eastAsia" w:ascii="宋体" w:hAnsi="宋体" w:cs="仿宋"/>
          <w:color w:val="FF0000"/>
          <w:kern w:val="0"/>
          <w:sz w:val="24"/>
        </w:rPr>
        <w:t>2025年</w:t>
      </w:r>
      <w:r>
        <w:rPr>
          <w:rFonts w:hint="eastAsia" w:ascii="宋体" w:hAnsi="宋体" w:cs="仿宋"/>
          <w:color w:val="FF0000"/>
          <w:kern w:val="0"/>
          <w:sz w:val="24"/>
          <w:lang w:val="en-US" w:eastAsia="zh-CN"/>
        </w:rPr>
        <w:t>6</w:t>
      </w:r>
      <w:r>
        <w:rPr>
          <w:rFonts w:hint="eastAsia" w:ascii="宋体" w:hAnsi="宋体" w:cs="仿宋"/>
          <w:color w:val="FF0000"/>
          <w:kern w:val="0"/>
          <w:sz w:val="24"/>
        </w:rPr>
        <w:t>月</w:t>
      </w:r>
      <w:r>
        <w:rPr>
          <w:rFonts w:hint="eastAsia" w:ascii="宋体" w:hAnsi="宋体" w:cs="仿宋"/>
          <w:color w:val="FF0000"/>
          <w:kern w:val="0"/>
          <w:sz w:val="24"/>
          <w:lang w:val="en-US" w:eastAsia="zh-CN"/>
        </w:rPr>
        <w:t>6</w:t>
      </w:r>
      <w:r>
        <w:rPr>
          <w:rFonts w:hint="eastAsia" w:ascii="宋体" w:hAnsi="宋体" w:cs="仿宋"/>
          <w:color w:val="FF0000"/>
          <w:kern w:val="0"/>
          <w:sz w:val="24"/>
        </w:rPr>
        <w:t>日15:30</w:t>
      </w:r>
    </w:p>
    <w:p w14:paraId="2AE4B504">
      <w:pPr>
        <w:spacing w:line="440" w:lineRule="exact"/>
        <w:ind w:firstLine="480" w:firstLineChars="200"/>
        <w:rPr>
          <w:rFonts w:hint="default" w:ascii="宋体" w:hAnsi="宋体" w:eastAsia="宋体" w:cs="仿宋"/>
          <w:color w:val="000000"/>
          <w:kern w:val="0"/>
          <w:sz w:val="24"/>
          <w:lang w:val="en-US" w:eastAsia="zh-CN"/>
        </w:rPr>
      </w:pPr>
      <w:r>
        <w:rPr>
          <w:rFonts w:hint="eastAsia" w:ascii="宋体" w:hAnsi="宋体" w:cs="仿宋"/>
          <w:color w:val="000000"/>
          <w:kern w:val="0"/>
          <w:sz w:val="24"/>
        </w:rPr>
        <w:t>3、响应文件接收及开标地点：扬州市文昌中路577号行政办公楼</w:t>
      </w:r>
      <w:r>
        <w:rPr>
          <w:rFonts w:hint="eastAsia" w:ascii="宋体" w:hAnsi="宋体" w:cs="仿宋"/>
          <w:color w:val="000000"/>
          <w:kern w:val="0"/>
          <w:sz w:val="24"/>
          <w:lang w:val="en-US" w:eastAsia="zh-CN"/>
        </w:rPr>
        <w:t>3楼会议室或其它指定地点。</w:t>
      </w:r>
    </w:p>
    <w:p w14:paraId="2301205D">
      <w:pPr>
        <w:spacing w:line="440" w:lineRule="exact"/>
        <w:ind w:firstLine="354" w:firstLineChars="147"/>
        <w:jc w:val="left"/>
        <w:outlineLvl w:val="0"/>
        <w:rPr>
          <w:rFonts w:hint="eastAsia" w:ascii="宋体" w:hAnsi="宋体"/>
          <w:b/>
          <w:color w:val="000000"/>
          <w:sz w:val="24"/>
        </w:rPr>
      </w:pPr>
      <w:bookmarkStart w:id="8" w:name="_Toc27607"/>
      <w:r>
        <w:rPr>
          <w:rFonts w:hint="eastAsia" w:ascii="宋体" w:hAnsi="宋体"/>
          <w:b/>
          <w:color w:val="000000"/>
          <w:sz w:val="24"/>
        </w:rPr>
        <w:t>七</w:t>
      </w:r>
      <w:r>
        <w:rPr>
          <w:rFonts w:ascii="宋体" w:hAnsi="宋体"/>
          <w:b/>
          <w:color w:val="000000"/>
          <w:sz w:val="24"/>
        </w:rPr>
        <w:t>、联系事项</w:t>
      </w:r>
      <w:bookmarkEnd w:id="8"/>
    </w:p>
    <w:p w14:paraId="7D435551">
      <w:pPr>
        <w:spacing w:line="440" w:lineRule="exact"/>
        <w:ind w:firstLine="480" w:firstLineChars="200"/>
        <w:rPr>
          <w:rFonts w:hint="eastAsia" w:ascii="宋体" w:hAnsi="宋体" w:cs="仿宋"/>
          <w:kern w:val="0"/>
          <w:sz w:val="24"/>
        </w:rPr>
      </w:pPr>
      <w:r>
        <w:rPr>
          <w:rFonts w:ascii="宋体" w:hAnsi="宋体" w:cs="仿宋"/>
          <w:kern w:val="0"/>
          <w:sz w:val="24"/>
        </w:rPr>
        <w:t>联系</w:t>
      </w:r>
      <w:r>
        <w:rPr>
          <w:rFonts w:hint="eastAsia" w:ascii="宋体" w:hAnsi="宋体" w:cs="仿宋"/>
          <w:kern w:val="0"/>
          <w:sz w:val="24"/>
        </w:rPr>
        <w:t>邮箱：</w:t>
      </w:r>
      <w:r>
        <w:rPr>
          <w:rFonts w:hint="eastAsia"/>
          <w:color w:val="FF0000"/>
          <w:sz w:val="24"/>
          <w:szCs w:val="24"/>
        </w:rPr>
        <w:t>matianci86@163</w:t>
      </w:r>
      <w:r>
        <w:rPr>
          <w:color w:val="FF0000"/>
          <w:sz w:val="24"/>
          <w:szCs w:val="24"/>
        </w:rPr>
        <w:t>.com</w:t>
      </w:r>
    </w:p>
    <w:p w14:paraId="1B2CF3D9">
      <w:pPr>
        <w:spacing w:line="440" w:lineRule="exact"/>
        <w:ind w:firstLine="354" w:firstLineChars="147"/>
        <w:jc w:val="left"/>
        <w:outlineLvl w:val="0"/>
        <w:rPr>
          <w:rFonts w:hint="eastAsia" w:ascii="宋体" w:hAnsi="宋体"/>
          <w:b/>
          <w:color w:val="000000"/>
          <w:sz w:val="24"/>
        </w:rPr>
      </w:pPr>
      <w:bookmarkStart w:id="9" w:name="_Toc3182"/>
      <w:r>
        <w:rPr>
          <w:rFonts w:hint="eastAsia" w:ascii="宋体" w:hAnsi="宋体"/>
          <w:b/>
          <w:color w:val="000000"/>
          <w:sz w:val="24"/>
        </w:rPr>
        <w:t>八、公告期限及其他事项</w:t>
      </w:r>
      <w:bookmarkEnd w:id="9"/>
    </w:p>
    <w:p w14:paraId="26938335">
      <w:pPr>
        <w:spacing w:line="440" w:lineRule="exact"/>
        <w:ind w:firstLine="480" w:firstLineChars="200"/>
        <w:jc w:val="left"/>
        <w:outlineLvl w:val="9"/>
        <w:rPr>
          <w:rFonts w:hint="eastAsia" w:ascii="宋体" w:hAnsi="宋体" w:cs="仿宋"/>
          <w:color w:val="000000"/>
          <w:kern w:val="0"/>
          <w:sz w:val="24"/>
        </w:rPr>
      </w:pPr>
      <w:bookmarkStart w:id="10" w:name="_Toc26914"/>
      <w:r>
        <w:rPr>
          <w:rFonts w:hint="eastAsia" w:ascii="宋体" w:hAnsi="宋体" w:cs="仿宋"/>
          <w:color w:val="000000"/>
          <w:kern w:val="0"/>
          <w:sz w:val="24"/>
        </w:rPr>
        <w:t>1．</w:t>
      </w:r>
      <w:r>
        <w:rPr>
          <w:rFonts w:ascii="宋体" w:hAnsi="宋体" w:cs="仿宋"/>
          <w:color w:val="000000"/>
          <w:kern w:val="0"/>
          <w:sz w:val="24"/>
        </w:rPr>
        <w:t>本</w:t>
      </w:r>
      <w:r>
        <w:rPr>
          <w:rFonts w:hint="eastAsia" w:ascii="宋体" w:hAnsi="宋体" w:cs="仿宋"/>
          <w:color w:val="000000"/>
          <w:kern w:val="0"/>
          <w:sz w:val="24"/>
        </w:rPr>
        <w:t>招标</w:t>
      </w:r>
      <w:r>
        <w:rPr>
          <w:rFonts w:ascii="宋体" w:hAnsi="宋体" w:cs="仿宋"/>
          <w:color w:val="000000"/>
          <w:kern w:val="0"/>
          <w:sz w:val="24"/>
        </w:rPr>
        <w:t>公告（</w:t>
      </w:r>
      <w:r>
        <w:rPr>
          <w:rFonts w:hint="eastAsia" w:ascii="宋体" w:hAnsi="宋体" w:cs="仿宋"/>
          <w:color w:val="000000"/>
          <w:kern w:val="0"/>
          <w:sz w:val="24"/>
        </w:rPr>
        <w:t>招标文件</w:t>
      </w:r>
      <w:r>
        <w:rPr>
          <w:rFonts w:ascii="宋体" w:hAnsi="宋体" w:cs="仿宋"/>
          <w:color w:val="000000"/>
          <w:kern w:val="0"/>
          <w:sz w:val="24"/>
        </w:rPr>
        <w:t>公告）期限，为本</w:t>
      </w:r>
      <w:r>
        <w:rPr>
          <w:rFonts w:hint="eastAsia" w:ascii="宋体" w:hAnsi="宋体" w:cs="仿宋"/>
          <w:color w:val="000000"/>
          <w:kern w:val="0"/>
          <w:sz w:val="24"/>
        </w:rPr>
        <w:t>招标</w:t>
      </w:r>
      <w:r>
        <w:rPr>
          <w:rFonts w:ascii="宋体" w:hAnsi="宋体" w:cs="仿宋"/>
          <w:color w:val="000000"/>
          <w:kern w:val="0"/>
          <w:sz w:val="24"/>
        </w:rPr>
        <w:t>公告（</w:t>
      </w:r>
      <w:r>
        <w:rPr>
          <w:rFonts w:hint="eastAsia" w:ascii="宋体" w:hAnsi="宋体" w:cs="仿宋"/>
          <w:color w:val="000000"/>
          <w:kern w:val="0"/>
          <w:sz w:val="24"/>
        </w:rPr>
        <w:t>招标文件</w:t>
      </w:r>
      <w:r>
        <w:rPr>
          <w:rFonts w:ascii="宋体" w:hAnsi="宋体" w:cs="仿宋"/>
          <w:color w:val="000000"/>
          <w:kern w:val="0"/>
          <w:sz w:val="24"/>
        </w:rPr>
        <w:t>公告）发布之日起</w:t>
      </w:r>
      <w:r>
        <w:rPr>
          <w:rFonts w:hint="eastAsia" w:ascii="宋体" w:hAnsi="宋体" w:cs="仿宋"/>
          <w:color w:val="000000"/>
          <w:kern w:val="0"/>
          <w:sz w:val="24"/>
        </w:rPr>
        <w:t>五</w:t>
      </w:r>
      <w:r>
        <w:rPr>
          <w:rFonts w:ascii="宋体" w:hAnsi="宋体" w:cs="仿宋"/>
          <w:color w:val="000000"/>
          <w:kern w:val="0"/>
          <w:sz w:val="24"/>
        </w:rPr>
        <w:t>个工作日。</w:t>
      </w:r>
      <w:r>
        <w:rPr>
          <w:rFonts w:hint="eastAsia" w:ascii="宋体" w:hAnsi="宋体" w:cs="仿宋"/>
          <w:color w:val="000000"/>
          <w:kern w:val="0"/>
          <w:sz w:val="24"/>
        </w:rPr>
        <w:t>招标</w:t>
      </w:r>
      <w:r>
        <w:rPr>
          <w:rFonts w:ascii="宋体" w:hAnsi="宋体" w:cs="仿宋"/>
          <w:color w:val="000000"/>
          <w:kern w:val="0"/>
          <w:sz w:val="24"/>
        </w:rPr>
        <w:t>公告发布媒体：</w:t>
      </w:r>
      <w:r>
        <w:rPr>
          <w:rFonts w:hint="eastAsia" w:ascii="宋体" w:hAnsi="宋体" w:cs="仿宋"/>
          <w:color w:val="000000"/>
          <w:kern w:val="0"/>
          <w:sz w:val="24"/>
        </w:rPr>
        <w:t>扬州市中医院官网</w:t>
      </w:r>
      <w:r>
        <w:rPr>
          <w:rFonts w:ascii="宋体" w:hAnsi="宋体" w:cs="仿宋"/>
          <w:color w:val="000000"/>
          <w:kern w:val="0"/>
          <w:sz w:val="24"/>
        </w:rPr>
        <w:t>。</w:t>
      </w:r>
      <w:bookmarkEnd w:id="10"/>
    </w:p>
    <w:p w14:paraId="47F1F53B">
      <w:pPr>
        <w:spacing w:line="440" w:lineRule="exact"/>
        <w:ind w:firstLine="480" w:firstLineChars="200"/>
        <w:jc w:val="left"/>
        <w:outlineLvl w:val="0"/>
        <w:rPr>
          <w:rFonts w:hint="eastAsia" w:ascii="宋体" w:hAnsi="宋体" w:cs="仿宋"/>
          <w:color w:val="000000"/>
          <w:kern w:val="0"/>
          <w:sz w:val="24"/>
        </w:rPr>
        <w:sectPr>
          <w:pgSz w:w="11906" w:h="16838"/>
          <w:pgMar w:top="1418" w:right="1474" w:bottom="1021" w:left="1588" w:header="851" w:footer="567" w:gutter="0"/>
          <w:pgNumType w:start="1"/>
          <w:cols w:space="720" w:num="1"/>
          <w:titlePg/>
          <w:docGrid w:type="lines" w:linePitch="312" w:charSpace="0"/>
        </w:sectPr>
      </w:pPr>
      <w:bookmarkStart w:id="11" w:name="_Toc1227"/>
      <w:r>
        <w:rPr>
          <w:rFonts w:hint="eastAsia" w:ascii="宋体" w:hAnsi="宋体" w:cs="仿宋"/>
          <w:color w:val="000000"/>
          <w:kern w:val="0"/>
          <w:sz w:val="24"/>
        </w:rPr>
        <w:t>2．以上邀请函内容如有变动，将在相关网络媒体上另行通知</w:t>
      </w:r>
      <w:bookmarkEnd w:id="11"/>
      <w:r>
        <w:rPr>
          <w:rFonts w:hint="eastAsia" w:ascii="宋体" w:hAnsi="宋体" w:cs="仿宋"/>
          <w:color w:val="000000"/>
          <w:kern w:val="0"/>
          <w:sz w:val="24"/>
        </w:rPr>
        <w:t>。</w:t>
      </w:r>
    </w:p>
    <w:bookmarkEnd w:id="2"/>
    <w:bookmarkEnd w:id="3"/>
    <w:p w14:paraId="71DF5737">
      <w:pPr>
        <w:pStyle w:val="2"/>
        <w:spacing w:before="156" w:after="156" w:line="440" w:lineRule="exact"/>
        <w:jc w:val="center"/>
        <w:rPr>
          <w:rFonts w:hint="eastAsia" w:ascii="宋体" w:hAnsi="宋体"/>
          <w:b w:val="0"/>
          <w:sz w:val="36"/>
          <w:szCs w:val="36"/>
          <w:highlight w:val="white"/>
        </w:rPr>
      </w:pPr>
      <w:r>
        <w:rPr>
          <w:rFonts w:hint="eastAsia" w:ascii="宋体" w:hAnsi="宋体"/>
          <w:bCs/>
          <w:sz w:val="36"/>
          <w:szCs w:val="36"/>
          <w:highlight w:val="white"/>
        </w:rPr>
        <w:t>第二部分   响应须知</w:t>
      </w:r>
    </w:p>
    <w:p w14:paraId="2021BAB0">
      <w:pPr>
        <w:spacing w:line="440" w:lineRule="exact"/>
        <w:jc w:val="center"/>
        <w:rPr>
          <w:rFonts w:hint="eastAsia" w:ascii="宋体" w:hAnsi="宋体"/>
          <w:sz w:val="36"/>
          <w:szCs w:val="36"/>
        </w:rPr>
      </w:pPr>
      <w:r>
        <w:rPr>
          <w:rFonts w:hint="eastAsia" w:ascii="宋体" w:hAnsi="宋体"/>
          <w:sz w:val="36"/>
          <w:szCs w:val="36"/>
        </w:rPr>
        <w:t>一、总 则</w:t>
      </w:r>
    </w:p>
    <w:p w14:paraId="4903C662">
      <w:pPr>
        <w:spacing w:line="440" w:lineRule="exact"/>
        <w:ind w:firstLine="482" w:firstLineChars="200"/>
        <w:rPr>
          <w:rFonts w:hint="eastAsia" w:ascii="宋体" w:hAnsi="宋体"/>
          <w:bCs/>
          <w:sz w:val="24"/>
        </w:rPr>
      </w:pPr>
      <w:r>
        <w:rPr>
          <w:rFonts w:hint="eastAsia" w:ascii="宋体" w:hAnsi="宋体"/>
          <w:b/>
          <w:bCs/>
          <w:sz w:val="24"/>
        </w:rPr>
        <w:t>（一）合格的响应人</w:t>
      </w:r>
    </w:p>
    <w:p w14:paraId="30DE6C47">
      <w:pPr>
        <w:spacing w:line="440" w:lineRule="exact"/>
        <w:ind w:firstLine="480" w:firstLineChars="200"/>
        <w:rPr>
          <w:rFonts w:hint="eastAsia" w:ascii="宋体" w:hAnsi="宋体"/>
          <w:bCs/>
          <w:sz w:val="24"/>
        </w:rPr>
      </w:pPr>
      <w:r>
        <w:rPr>
          <w:rFonts w:hint="eastAsia" w:ascii="宋体" w:hAnsi="宋体"/>
          <w:sz w:val="24"/>
        </w:rPr>
        <w:t>1．合格的响应人必须是有能力按照本招标文件规定的要求提供服务，且具有独立承担民事等法律责任的法人或其它经济组织，本次招标不接受联合体响应。</w:t>
      </w:r>
    </w:p>
    <w:p w14:paraId="5FECAEFE">
      <w:pPr>
        <w:spacing w:line="440" w:lineRule="exact"/>
        <w:ind w:firstLine="480" w:firstLineChars="200"/>
        <w:rPr>
          <w:rFonts w:hint="eastAsia" w:ascii="宋体" w:hAnsi="宋体"/>
          <w:sz w:val="24"/>
        </w:rPr>
      </w:pPr>
      <w:r>
        <w:rPr>
          <w:rFonts w:hint="eastAsia" w:ascii="宋体" w:hAnsi="宋体"/>
          <w:sz w:val="24"/>
        </w:rPr>
        <w:t>2．合格的响应人必须符合招标文件第一部分《招标邀请函》第三条及须知前附表相关规定，且具备独立完成本项目的</w:t>
      </w:r>
      <w:r>
        <w:rPr>
          <w:rFonts w:hint="eastAsia" w:ascii="宋体" w:hAnsi="宋体"/>
          <w:kern w:val="10"/>
          <w:sz w:val="24"/>
        </w:rPr>
        <w:t>能</w:t>
      </w:r>
      <w:r>
        <w:rPr>
          <w:rFonts w:hint="eastAsia" w:ascii="宋体" w:hAnsi="宋体"/>
          <w:sz w:val="24"/>
        </w:rPr>
        <w:t>力，中标后不允许分包、转包。</w:t>
      </w:r>
    </w:p>
    <w:p w14:paraId="16021FE4">
      <w:pPr>
        <w:spacing w:line="440" w:lineRule="exact"/>
        <w:ind w:firstLine="482" w:firstLineChars="200"/>
        <w:rPr>
          <w:rFonts w:hint="eastAsia" w:ascii="宋体" w:hAnsi="宋体"/>
          <w:b/>
          <w:bCs/>
          <w:sz w:val="24"/>
        </w:rPr>
      </w:pPr>
      <w:r>
        <w:rPr>
          <w:rFonts w:hint="eastAsia" w:ascii="宋体" w:hAnsi="宋体"/>
          <w:b/>
          <w:bCs/>
          <w:sz w:val="24"/>
        </w:rPr>
        <w:t>（二）适用法律</w:t>
      </w:r>
    </w:p>
    <w:p w14:paraId="6A8E2A98">
      <w:pPr>
        <w:pStyle w:val="19"/>
        <w:spacing w:line="440" w:lineRule="exact"/>
        <w:ind w:firstLine="480" w:firstLineChars="200"/>
        <w:jc w:val="both"/>
        <w:rPr>
          <w:rFonts w:hint="eastAsia" w:ascii="宋体" w:hAnsi="宋体" w:eastAsia="宋体"/>
          <w:sz w:val="24"/>
        </w:rPr>
      </w:pPr>
      <w:r>
        <w:rPr>
          <w:rFonts w:hint="eastAsia" w:ascii="宋体" w:hAnsi="宋体" w:eastAsia="宋体"/>
          <w:sz w:val="24"/>
        </w:rPr>
        <w:t>本次招标及由本次招标产生的合同受中华人民共和国的相关法律、法规制约和保护。</w:t>
      </w:r>
    </w:p>
    <w:p w14:paraId="6B04EEF8">
      <w:pPr>
        <w:spacing w:line="440" w:lineRule="exact"/>
        <w:ind w:firstLine="482" w:firstLineChars="200"/>
        <w:rPr>
          <w:rFonts w:hint="eastAsia" w:ascii="宋体" w:hAnsi="宋体"/>
          <w:b/>
          <w:bCs/>
          <w:sz w:val="24"/>
        </w:rPr>
      </w:pPr>
      <w:r>
        <w:rPr>
          <w:rFonts w:hint="eastAsia" w:ascii="宋体" w:hAnsi="宋体"/>
          <w:b/>
          <w:bCs/>
          <w:sz w:val="24"/>
        </w:rPr>
        <w:t>（三）招标有关费用</w:t>
      </w:r>
    </w:p>
    <w:p w14:paraId="3750938F">
      <w:pPr>
        <w:spacing w:line="440" w:lineRule="exact"/>
        <w:ind w:firstLine="480" w:firstLineChars="200"/>
        <w:rPr>
          <w:rFonts w:hint="eastAsia" w:ascii="宋体" w:hAnsi="宋体"/>
          <w:sz w:val="24"/>
        </w:rPr>
      </w:pPr>
      <w:r>
        <w:rPr>
          <w:rFonts w:hint="eastAsia" w:ascii="宋体" w:hAnsi="宋体"/>
          <w:sz w:val="24"/>
        </w:rPr>
        <w:t>不管招标结果如何，响应人均应自行承担参加招标活动的所有费用。</w:t>
      </w:r>
    </w:p>
    <w:p w14:paraId="2939AB58">
      <w:pPr>
        <w:spacing w:line="440" w:lineRule="exact"/>
        <w:ind w:firstLine="482" w:firstLineChars="200"/>
        <w:rPr>
          <w:rFonts w:hint="eastAsia" w:ascii="宋体" w:hAnsi="宋体"/>
          <w:b/>
          <w:bCs/>
          <w:sz w:val="24"/>
        </w:rPr>
      </w:pPr>
      <w:r>
        <w:rPr>
          <w:rFonts w:hint="eastAsia" w:ascii="宋体" w:hAnsi="宋体"/>
          <w:b/>
          <w:bCs/>
          <w:sz w:val="24"/>
        </w:rPr>
        <w:t>（四）招标文件的约束力</w:t>
      </w:r>
    </w:p>
    <w:p w14:paraId="246F1301">
      <w:pPr>
        <w:spacing w:line="440" w:lineRule="exact"/>
        <w:ind w:firstLine="480" w:firstLineChars="200"/>
        <w:rPr>
          <w:rFonts w:hint="eastAsia" w:ascii="宋体" w:hAnsi="宋体"/>
          <w:sz w:val="24"/>
        </w:rPr>
      </w:pPr>
      <w:r>
        <w:rPr>
          <w:rFonts w:hint="eastAsia" w:ascii="宋体" w:hAnsi="宋体"/>
          <w:sz w:val="24"/>
        </w:rPr>
        <w:t>响应人一旦报名参加本项目招标活动，即被认为接受了本招标文件的所有条件和规定，并且视为自报名之日起已经知道或应当知道自身权益是否受到了损害。</w:t>
      </w:r>
    </w:p>
    <w:p w14:paraId="5438E481">
      <w:pPr>
        <w:spacing w:line="440" w:lineRule="exact"/>
        <w:jc w:val="center"/>
        <w:rPr>
          <w:rFonts w:hint="eastAsia" w:ascii="宋体" w:hAnsi="宋体"/>
          <w:sz w:val="36"/>
          <w:szCs w:val="36"/>
        </w:rPr>
      </w:pPr>
    </w:p>
    <w:p w14:paraId="25A30C38">
      <w:pPr>
        <w:spacing w:line="440" w:lineRule="exact"/>
        <w:jc w:val="center"/>
        <w:rPr>
          <w:rFonts w:hint="eastAsia" w:ascii="宋体" w:hAnsi="宋体"/>
          <w:sz w:val="36"/>
          <w:szCs w:val="36"/>
        </w:rPr>
      </w:pPr>
      <w:r>
        <w:rPr>
          <w:rFonts w:hint="eastAsia" w:ascii="宋体" w:hAnsi="宋体"/>
          <w:sz w:val="36"/>
          <w:szCs w:val="36"/>
        </w:rPr>
        <w:t>二、招标文件</w:t>
      </w:r>
    </w:p>
    <w:p w14:paraId="7B1894A3">
      <w:pPr>
        <w:spacing w:line="440" w:lineRule="exact"/>
        <w:ind w:firstLine="482" w:firstLineChars="200"/>
        <w:jc w:val="left"/>
        <w:rPr>
          <w:rFonts w:hint="eastAsia" w:ascii="宋体" w:hAnsi="宋体"/>
          <w:b/>
          <w:bCs/>
          <w:sz w:val="24"/>
        </w:rPr>
      </w:pPr>
      <w:r>
        <w:rPr>
          <w:rFonts w:hint="eastAsia" w:ascii="宋体" w:hAnsi="宋体"/>
          <w:b/>
          <w:bCs/>
          <w:sz w:val="24"/>
        </w:rPr>
        <w:t>（五）招标文件构成</w:t>
      </w:r>
    </w:p>
    <w:p w14:paraId="790B1850">
      <w:pPr>
        <w:spacing w:line="440" w:lineRule="exact"/>
        <w:ind w:firstLine="480" w:firstLineChars="200"/>
        <w:jc w:val="left"/>
        <w:rPr>
          <w:rFonts w:hint="eastAsia" w:ascii="宋体" w:hAnsi="宋体"/>
          <w:sz w:val="24"/>
        </w:rPr>
      </w:pPr>
      <w:r>
        <w:rPr>
          <w:rFonts w:hint="eastAsia" w:ascii="宋体" w:hAnsi="宋体"/>
          <w:sz w:val="24"/>
        </w:rPr>
        <w:t>第一部分：招标邀请函；</w:t>
      </w:r>
    </w:p>
    <w:p w14:paraId="39B0B2DE">
      <w:pPr>
        <w:spacing w:line="440" w:lineRule="exact"/>
        <w:ind w:firstLine="480" w:firstLineChars="200"/>
        <w:jc w:val="left"/>
        <w:rPr>
          <w:rFonts w:hint="eastAsia" w:ascii="宋体" w:hAnsi="宋体"/>
          <w:sz w:val="24"/>
        </w:rPr>
      </w:pPr>
      <w:r>
        <w:rPr>
          <w:rFonts w:hint="eastAsia" w:ascii="宋体" w:hAnsi="宋体"/>
          <w:sz w:val="24"/>
        </w:rPr>
        <w:t>第二部分：响应须知；</w:t>
      </w:r>
    </w:p>
    <w:p w14:paraId="4ACAC797">
      <w:pPr>
        <w:spacing w:line="440" w:lineRule="exact"/>
        <w:ind w:firstLine="480" w:firstLineChars="200"/>
        <w:jc w:val="left"/>
        <w:rPr>
          <w:rFonts w:hint="eastAsia" w:ascii="宋体" w:hAnsi="宋体"/>
          <w:sz w:val="24"/>
        </w:rPr>
      </w:pPr>
      <w:r>
        <w:rPr>
          <w:rFonts w:hint="eastAsia" w:ascii="宋体" w:hAnsi="宋体"/>
          <w:sz w:val="24"/>
        </w:rPr>
        <w:t>第三部分：评审办法；</w:t>
      </w:r>
    </w:p>
    <w:p w14:paraId="6057B6A2">
      <w:pPr>
        <w:spacing w:line="440" w:lineRule="exact"/>
        <w:ind w:firstLine="480" w:firstLineChars="200"/>
        <w:jc w:val="left"/>
        <w:rPr>
          <w:rFonts w:hint="eastAsia" w:ascii="宋体" w:hAnsi="宋体"/>
          <w:sz w:val="24"/>
        </w:rPr>
      </w:pPr>
      <w:r>
        <w:rPr>
          <w:rFonts w:hint="eastAsia" w:ascii="宋体" w:hAnsi="宋体"/>
          <w:sz w:val="24"/>
        </w:rPr>
        <w:t>第四部分：项目需求；</w:t>
      </w:r>
    </w:p>
    <w:p w14:paraId="20064955">
      <w:pPr>
        <w:spacing w:line="440" w:lineRule="exact"/>
        <w:ind w:firstLine="480" w:firstLineChars="200"/>
        <w:jc w:val="left"/>
        <w:rPr>
          <w:rFonts w:hint="eastAsia" w:ascii="宋体" w:hAnsi="宋体"/>
          <w:sz w:val="24"/>
        </w:rPr>
      </w:pPr>
      <w:r>
        <w:rPr>
          <w:rFonts w:hint="eastAsia" w:ascii="宋体" w:hAnsi="宋体"/>
          <w:sz w:val="24"/>
        </w:rPr>
        <w:t>第五部分：响应文件格式。</w:t>
      </w:r>
    </w:p>
    <w:p w14:paraId="2C380B9C">
      <w:pPr>
        <w:spacing w:line="440" w:lineRule="exact"/>
        <w:ind w:firstLine="482" w:firstLineChars="200"/>
        <w:jc w:val="left"/>
        <w:rPr>
          <w:rFonts w:hint="eastAsia" w:ascii="宋体" w:hAnsi="宋体"/>
          <w:b/>
          <w:bCs/>
          <w:sz w:val="24"/>
        </w:rPr>
      </w:pPr>
      <w:r>
        <w:rPr>
          <w:rFonts w:hint="eastAsia" w:ascii="宋体" w:hAnsi="宋体"/>
          <w:b/>
          <w:bCs/>
          <w:sz w:val="24"/>
        </w:rPr>
        <w:t>（六）招标文件的澄清</w:t>
      </w:r>
    </w:p>
    <w:p w14:paraId="7D222F51">
      <w:pPr>
        <w:spacing w:line="440" w:lineRule="exact"/>
        <w:ind w:firstLine="480" w:firstLineChars="200"/>
        <w:rPr>
          <w:rFonts w:hint="eastAsia" w:ascii="宋体" w:hAnsi="宋体"/>
          <w:sz w:val="24"/>
        </w:rPr>
      </w:pPr>
      <w:r>
        <w:rPr>
          <w:rFonts w:ascii="宋体" w:hAnsi="宋体"/>
          <w:sz w:val="24"/>
        </w:rPr>
        <w:t>任何要求对</w:t>
      </w:r>
      <w:r>
        <w:rPr>
          <w:rFonts w:hint="eastAsia" w:ascii="宋体" w:hAnsi="宋体"/>
          <w:sz w:val="24"/>
        </w:rPr>
        <w:t>招标</w:t>
      </w:r>
      <w:r>
        <w:rPr>
          <w:rFonts w:ascii="宋体" w:hAnsi="宋体"/>
          <w:sz w:val="24"/>
        </w:rPr>
        <w:t>文件澄清的供应商，均应在</w:t>
      </w:r>
      <w:r>
        <w:rPr>
          <w:rFonts w:hint="eastAsia" w:ascii="宋体" w:hAnsi="宋体"/>
          <w:sz w:val="24"/>
        </w:rPr>
        <w:t>招标</w:t>
      </w:r>
      <w:r>
        <w:rPr>
          <w:rFonts w:ascii="宋体" w:hAnsi="宋体"/>
          <w:sz w:val="24"/>
        </w:rPr>
        <w:t>文件提供截止时间之前</w:t>
      </w:r>
      <w:r>
        <w:rPr>
          <w:rFonts w:hint="eastAsia" w:ascii="宋体" w:hAnsi="宋体"/>
          <w:sz w:val="24"/>
        </w:rPr>
        <w:t>，</w:t>
      </w:r>
      <w:r>
        <w:rPr>
          <w:rFonts w:ascii="宋体" w:hAnsi="宋体"/>
          <w:sz w:val="24"/>
        </w:rPr>
        <w:t>按照</w:t>
      </w:r>
      <w:r>
        <w:rPr>
          <w:rFonts w:hint="eastAsia" w:ascii="宋体" w:hAnsi="宋体"/>
          <w:sz w:val="24"/>
        </w:rPr>
        <w:t>招标</w:t>
      </w:r>
      <w:r>
        <w:rPr>
          <w:rFonts w:ascii="宋体" w:hAnsi="宋体"/>
          <w:sz w:val="24"/>
        </w:rPr>
        <w:t>请函中的通讯地址</w:t>
      </w:r>
      <w:r>
        <w:rPr>
          <w:rFonts w:hint="eastAsia" w:ascii="宋体" w:hAnsi="宋体"/>
          <w:sz w:val="24"/>
        </w:rPr>
        <w:t>，以</w:t>
      </w:r>
      <w:r>
        <w:rPr>
          <w:rFonts w:ascii="宋体" w:hAnsi="宋体"/>
          <w:sz w:val="24"/>
        </w:rPr>
        <w:t>书面形式</w:t>
      </w:r>
      <w:r>
        <w:rPr>
          <w:rFonts w:hint="eastAsia" w:ascii="宋体" w:hAnsi="宋体"/>
          <w:sz w:val="24"/>
        </w:rPr>
        <w:t>（如信函、传真等）通知招标</w:t>
      </w:r>
      <w:r>
        <w:rPr>
          <w:rFonts w:ascii="宋体" w:hAnsi="宋体"/>
          <w:sz w:val="24"/>
        </w:rPr>
        <w:t>人，</w:t>
      </w:r>
      <w:r>
        <w:rPr>
          <w:rFonts w:hint="eastAsia" w:ascii="宋体" w:hAnsi="宋体"/>
          <w:sz w:val="24"/>
        </w:rPr>
        <w:t>招标</w:t>
      </w:r>
      <w:r>
        <w:rPr>
          <w:rFonts w:ascii="宋体" w:hAnsi="宋体"/>
          <w:sz w:val="24"/>
        </w:rPr>
        <w:t>人对规定时间内收到的澄清以书面形式予以答复，答复不包括问题的来源。</w:t>
      </w:r>
    </w:p>
    <w:p w14:paraId="237E39DA">
      <w:pPr>
        <w:spacing w:line="440" w:lineRule="exact"/>
        <w:ind w:firstLine="482" w:firstLineChars="200"/>
        <w:jc w:val="left"/>
        <w:rPr>
          <w:rFonts w:hint="eastAsia" w:ascii="宋体" w:hAnsi="宋体"/>
          <w:b/>
          <w:bCs/>
          <w:sz w:val="24"/>
        </w:rPr>
      </w:pPr>
      <w:r>
        <w:rPr>
          <w:rFonts w:hint="eastAsia" w:ascii="宋体" w:hAnsi="宋体"/>
          <w:b/>
          <w:bCs/>
          <w:sz w:val="24"/>
        </w:rPr>
        <w:t>（七）招标文件的修改</w:t>
      </w:r>
    </w:p>
    <w:p w14:paraId="3C7E2AC0">
      <w:pPr>
        <w:spacing w:line="440" w:lineRule="exact"/>
        <w:ind w:firstLine="480" w:firstLineChars="200"/>
        <w:rPr>
          <w:rFonts w:hint="eastAsia" w:ascii="宋体" w:hAnsi="宋体"/>
          <w:sz w:val="24"/>
        </w:rPr>
      </w:pPr>
      <w:r>
        <w:rPr>
          <w:rFonts w:ascii="宋体" w:hAnsi="宋体"/>
          <w:sz w:val="24"/>
        </w:rPr>
        <w:t>1</w:t>
      </w:r>
      <w:r>
        <w:rPr>
          <w:rFonts w:hint="eastAsia" w:ascii="宋体" w:hAnsi="宋体"/>
          <w:sz w:val="24"/>
        </w:rPr>
        <w:t>．</w:t>
      </w:r>
      <w:r>
        <w:rPr>
          <w:rFonts w:ascii="宋体" w:hAnsi="宋体"/>
          <w:sz w:val="24"/>
        </w:rPr>
        <w:t>在响应文件接收截止之日前，无论出于何种原因</w:t>
      </w:r>
      <w:r>
        <w:rPr>
          <w:rFonts w:hint="eastAsia" w:ascii="宋体" w:hAnsi="宋体"/>
          <w:sz w:val="24"/>
        </w:rPr>
        <w:t>，招标人均</w:t>
      </w:r>
      <w:r>
        <w:rPr>
          <w:rFonts w:ascii="宋体" w:hAnsi="宋体"/>
          <w:sz w:val="24"/>
        </w:rPr>
        <w:t>可以更正公告或补充文件的形式对</w:t>
      </w:r>
      <w:r>
        <w:rPr>
          <w:rFonts w:hint="eastAsia" w:ascii="宋体" w:hAnsi="宋体"/>
          <w:sz w:val="24"/>
        </w:rPr>
        <w:t>招标</w:t>
      </w:r>
      <w:r>
        <w:rPr>
          <w:rFonts w:ascii="宋体" w:hAnsi="宋体"/>
          <w:sz w:val="24"/>
        </w:rPr>
        <w:t>文件进行澄清或者修改。澄清或者修改的内容可能影响响应文件编制的，应当在响应文件接收截止之日</w:t>
      </w:r>
      <w:r>
        <w:rPr>
          <w:rFonts w:hint="eastAsia" w:ascii="宋体" w:hAnsi="宋体"/>
          <w:sz w:val="24"/>
        </w:rPr>
        <w:t>5</w:t>
      </w:r>
      <w:r>
        <w:rPr>
          <w:rFonts w:ascii="宋体" w:hAnsi="宋体"/>
          <w:sz w:val="24"/>
        </w:rPr>
        <w:t>个工作日前发出，不足</w:t>
      </w:r>
      <w:r>
        <w:rPr>
          <w:rFonts w:hint="eastAsia" w:ascii="宋体" w:hAnsi="宋体"/>
          <w:sz w:val="24"/>
        </w:rPr>
        <w:t>5</w:t>
      </w:r>
      <w:r>
        <w:rPr>
          <w:rFonts w:ascii="宋体" w:hAnsi="宋体"/>
          <w:sz w:val="24"/>
        </w:rPr>
        <w:t>个工作日的，应当顺延提交响应文件截止</w:t>
      </w:r>
      <w:r>
        <w:rPr>
          <w:rFonts w:hint="eastAsia" w:ascii="宋体" w:hAnsi="宋体"/>
          <w:sz w:val="24"/>
        </w:rPr>
        <w:t>时间</w:t>
      </w:r>
      <w:r>
        <w:rPr>
          <w:rFonts w:ascii="宋体" w:hAnsi="宋体"/>
          <w:sz w:val="24"/>
        </w:rPr>
        <w:t>。</w:t>
      </w:r>
    </w:p>
    <w:p w14:paraId="4F3AD753">
      <w:pPr>
        <w:spacing w:line="500" w:lineRule="exact"/>
        <w:ind w:firstLine="480" w:firstLineChars="200"/>
        <w:rPr>
          <w:rFonts w:hint="eastAsia" w:ascii="宋体" w:hAnsi="宋体"/>
          <w:sz w:val="24"/>
        </w:rPr>
      </w:pPr>
      <w:r>
        <w:rPr>
          <w:rFonts w:hint="eastAsia" w:ascii="宋体" w:hAnsi="宋体"/>
          <w:sz w:val="24"/>
        </w:rPr>
        <w:t>2.招标</w:t>
      </w:r>
      <w:r>
        <w:rPr>
          <w:rFonts w:ascii="宋体" w:hAnsi="宋体"/>
          <w:sz w:val="24"/>
        </w:rPr>
        <w:t>文件的修改或补充将以书面形式</w:t>
      </w:r>
      <w:r>
        <w:rPr>
          <w:rFonts w:hint="eastAsia" w:ascii="宋体" w:hAnsi="宋体"/>
          <w:sz w:val="24"/>
        </w:rPr>
        <w:t>（如邮件、信函等）</w:t>
      </w:r>
      <w:r>
        <w:rPr>
          <w:rFonts w:ascii="宋体" w:hAnsi="宋体"/>
          <w:sz w:val="24"/>
        </w:rPr>
        <w:t>通知</w:t>
      </w:r>
      <w:r>
        <w:rPr>
          <w:rFonts w:hint="eastAsia" w:ascii="宋体" w:hAnsi="宋体"/>
          <w:sz w:val="24"/>
        </w:rPr>
        <w:t>所有已</w:t>
      </w:r>
      <w:r>
        <w:rPr>
          <w:rFonts w:ascii="宋体" w:hAnsi="宋体"/>
          <w:sz w:val="24"/>
        </w:rPr>
        <w:t>获取</w:t>
      </w:r>
      <w:r>
        <w:rPr>
          <w:rFonts w:hint="eastAsia" w:ascii="宋体" w:hAnsi="宋体"/>
          <w:sz w:val="24"/>
        </w:rPr>
        <w:t>招标</w:t>
      </w:r>
      <w:r>
        <w:rPr>
          <w:rFonts w:ascii="宋体" w:hAnsi="宋体"/>
          <w:sz w:val="24"/>
        </w:rPr>
        <w:t>文件的</w:t>
      </w:r>
      <w:r>
        <w:rPr>
          <w:rFonts w:hint="eastAsia" w:ascii="宋体" w:hAnsi="宋体"/>
          <w:sz w:val="24"/>
        </w:rPr>
        <w:t>响应人，并对响应</w:t>
      </w:r>
      <w:r>
        <w:rPr>
          <w:rFonts w:ascii="宋体" w:hAnsi="宋体"/>
          <w:sz w:val="24"/>
        </w:rPr>
        <w:t>人具有约束力。</w:t>
      </w:r>
      <w:r>
        <w:rPr>
          <w:rFonts w:hint="eastAsia" w:ascii="宋体" w:hAnsi="宋体"/>
          <w:sz w:val="24"/>
        </w:rPr>
        <w:t>响应人收到</w:t>
      </w:r>
      <w:r>
        <w:rPr>
          <w:rFonts w:ascii="宋体" w:hAnsi="宋体"/>
          <w:sz w:val="24"/>
        </w:rPr>
        <w:t>修改或补充文件后</w:t>
      </w:r>
      <w:r>
        <w:rPr>
          <w:rFonts w:hint="eastAsia" w:ascii="宋体" w:hAnsi="宋体"/>
          <w:sz w:val="24"/>
        </w:rPr>
        <w:t>，应于1个工作日内予以回复，逾期未回复的，视同已收。</w:t>
      </w:r>
    </w:p>
    <w:p w14:paraId="1F63613F">
      <w:pPr>
        <w:spacing w:line="500" w:lineRule="exact"/>
        <w:ind w:firstLine="480" w:firstLineChars="200"/>
        <w:rPr>
          <w:rFonts w:hint="eastAsia" w:ascii="宋体" w:hAnsi="宋体"/>
          <w:sz w:val="24"/>
        </w:rPr>
      </w:pPr>
      <w:r>
        <w:rPr>
          <w:rFonts w:hint="eastAsia" w:ascii="宋体" w:hAnsi="宋体"/>
          <w:sz w:val="24"/>
        </w:rPr>
        <w:t>3．</w:t>
      </w:r>
      <w:r>
        <w:rPr>
          <w:rFonts w:ascii="宋体" w:hAnsi="宋体"/>
          <w:sz w:val="24"/>
        </w:rPr>
        <w:t>为使</w:t>
      </w:r>
      <w:r>
        <w:rPr>
          <w:rFonts w:hint="eastAsia" w:ascii="宋体" w:hAnsi="宋体"/>
          <w:sz w:val="24"/>
        </w:rPr>
        <w:t>响应人</w:t>
      </w:r>
      <w:r>
        <w:rPr>
          <w:rFonts w:ascii="宋体" w:hAnsi="宋体"/>
          <w:sz w:val="24"/>
        </w:rPr>
        <w:t>有充分的时间对</w:t>
      </w:r>
      <w:r>
        <w:rPr>
          <w:rFonts w:hint="eastAsia" w:ascii="宋体" w:hAnsi="宋体"/>
          <w:sz w:val="24"/>
        </w:rPr>
        <w:t>招标</w:t>
      </w:r>
      <w:r>
        <w:rPr>
          <w:rFonts w:ascii="宋体" w:hAnsi="宋体"/>
          <w:sz w:val="24"/>
        </w:rPr>
        <w:t>文件的补充</w:t>
      </w:r>
      <w:r>
        <w:rPr>
          <w:rFonts w:hint="eastAsia" w:ascii="宋体" w:hAnsi="宋体"/>
          <w:sz w:val="24"/>
        </w:rPr>
        <w:t>、</w:t>
      </w:r>
      <w:r>
        <w:rPr>
          <w:rFonts w:ascii="宋体" w:hAnsi="宋体"/>
          <w:sz w:val="24"/>
        </w:rPr>
        <w:t>修改部分进行分析、研究，</w:t>
      </w:r>
      <w:r>
        <w:rPr>
          <w:rFonts w:hint="eastAsia" w:ascii="宋体" w:hAnsi="宋体"/>
          <w:sz w:val="24"/>
        </w:rPr>
        <w:t>招标人</w:t>
      </w:r>
      <w:r>
        <w:rPr>
          <w:rFonts w:ascii="宋体" w:hAnsi="宋体"/>
          <w:sz w:val="24"/>
        </w:rPr>
        <w:t>有权推迟响应文件接收截止日期和</w:t>
      </w:r>
      <w:r>
        <w:rPr>
          <w:rFonts w:hint="eastAsia" w:ascii="宋体" w:hAnsi="宋体"/>
          <w:sz w:val="24"/>
        </w:rPr>
        <w:t>招标</w:t>
      </w:r>
      <w:r>
        <w:rPr>
          <w:rFonts w:ascii="宋体" w:hAnsi="宋体"/>
          <w:sz w:val="24"/>
        </w:rPr>
        <w:t>日期</w:t>
      </w:r>
      <w:r>
        <w:rPr>
          <w:rFonts w:hint="eastAsia" w:ascii="宋体" w:hAnsi="宋体"/>
          <w:sz w:val="24"/>
        </w:rPr>
        <w:t>。并将此变更通知所有已获取招标文件的响应人。</w:t>
      </w:r>
    </w:p>
    <w:p w14:paraId="42967C69">
      <w:pPr>
        <w:spacing w:line="440" w:lineRule="exact"/>
        <w:ind w:firstLine="480" w:firstLineChars="200"/>
        <w:jc w:val="left"/>
        <w:rPr>
          <w:rFonts w:hint="eastAsia" w:ascii="宋体" w:hAnsi="宋体"/>
          <w:sz w:val="24"/>
        </w:rPr>
      </w:pPr>
      <w:r>
        <w:rPr>
          <w:rFonts w:hint="eastAsia" w:ascii="宋体" w:hAnsi="宋体"/>
          <w:sz w:val="24"/>
        </w:rPr>
        <w:t>4．招标人</w:t>
      </w:r>
      <w:r>
        <w:rPr>
          <w:rFonts w:ascii="宋体" w:hAnsi="宋体"/>
          <w:sz w:val="24"/>
        </w:rPr>
        <w:t>发出的所有补充、修改和变更文件均作为</w:t>
      </w:r>
      <w:r>
        <w:rPr>
          <w:rFonts w:hint="eastAsia" w:ascii="宋体" w:hAnsi="宋体"/>
          <w:sz w:val="24"/>
        </w:rPr>
        <w:t>招标</w:t>
      </w:r>
      <w:r>
        <w:rPr>
          <w:rFonts w:ascii="宋体" w:hAnsi="宋体"/>
          <w:sz w:val="24"/>
        </w:rPr>
        <w:t>文件的组成部分，与</w:t>
      </w:r>
      <w:r>
        <w:rPr>
          <w:rFonts w:hint="eastAsia" w:ascii="宋体" w:hAnsi="宋体"/>
          <w:sz w:val="24"/>
        </w:rPr>
        <w:t>招标</w:t>
      </w:r>
      <w:r>
        <w:rPr>
          <w:rFonts w:ascii="宋体" w:hAnsi="宋体"/>
          <w:sz w:val="24"/>
        </w:rPr>
        <w:t>文件具有同等法律效力。</w:t>
      </w:r>
    </w:p>
    <w:p w14:paraId="222FAFC6">
      <w:pPr>
        <w:spacing w:line="440" w:lineRule="exact"/>
        <w:jc w:val="center"/>
        <w:rPr>
          <w:rFonts w:hint="eastAsia" w:ascii="宋体" w:hAnsi="宋体"/>
          <w:sz w:val="36"/>
          <w:szCs w:val="36"/>
        </w:rPr>
      </w:pPr>
      <w:r>
        <w:rPr>
          <w:rFonts w:hint="eastAsia" w:ascii="宋体" w:hAnsi="宋体"/>
          <w:sz w:val="36"/>
          <w:szCs w:val="36"/>
        </w:rPr>
        <w:t>三、响应文件的编制</w:t>
      </w:r>
    </w:p>
    <w:p w14:paraId="1A76FA6D">
      <w:pPr>
        <w:spacing w:line="440" w:lineRule="exact"/>
        <w:ind w:firstLine="482" w:firstLineChars="200"/>
        <w:rPr>
          <w:rFonts w:hint="eastAsia" w:ascii="宋体" w:hAnsi="宋体"/>
          <w:b/>
          <w:bCs/>
          <w:sz w:val="24"/>
        </w:rPr>
      </w:pPr>
      <w:r>
        <w:rPr>
          <w:rFonts w:hint="eastAsia" w:ascii="宋体" w:hAnsi="宋体"/>
          <w:b/>
          <w:bCs/>
          <w:sz w:val="24"/>
        </w:rPr>
        <w:t>（八）响应文件的编制要求</w:t>
      </w:r>
    </w:p>
    <w:p w14:paraId="6171E39D">
      <w:pPr>
        <w:spacing w:line="440" w:lineRule="exact"/>
        <w:ind w:firstLine="480" w:firstLineChars="200"/>
        <w:rPr>
          <w:rFonts w:hint="eastAsia" w:ascii="宋体" w:hAnsi="宋体" w:cs="Arial"/>
          <w:sz w:val="24"/>
        </w:rPr>
      </w:pPr>
      <w:r>
        <w:rPr>
          <w:rFonts w:hint="eastAsia" w:ascii="宋体" w:hAnsi="宋体" w:cs="Arial"/>
          <w:sz w:val="24"/>
        </w:rPr>
        <w:t>1．响应人应仔细阅读招标文件的所有内容，按招标文件要求编制响应文件，如有必要，可以增加附页，作为响应文件的组成部分。并保证所提供的全部资料的真实性、完整性及有效性，以使响应文件对招标文件作出实质性响应。否则，可能被拒绝。</w:t>
      </w:r>
    </w:p>
    <w:p w14:paraId="6935EAD4">
      <w:pPr>
        <w:spacing w:line="440" w:lineRule="exact"/>
        <w:ind w:firstLine="480" w:firstLineChars="200"/>
        <w:rPr>
          <w:rFonts w:hint="eastAsia" w:ascii="宋体" w:hAnsi="宋体" w:cs="Arial"/>
          <w:sz w:val="24"/>
        </w:rPr>
      </w:pPr>
      <w:r>
        <w:rPr>
          <w:rFonts w:hint="eastAsia" w:ascii="宋体" w:hAnsi="宋体" w:cs="Arial"/>
          <w:sz w:val="24"/>
        </w:rPr>
        <w:t>2．响应文件应当对招标文件有关技术标准和要求、服务要求、质量要求、响应有效期、服务范围等实质性内容作出响应。</w:t>
      </w:r>
    </w:p>
    <w:p w14:paraId="547EBD54">
      <w:pPr>
        <w:spacing w:line="440" w:lineRule="exact"/>
        <w:ind w:firstLine="482" w:firstLineChars="200"/>
        <w:jc w:val="left"/>
        <w:rPr>
          <w:rFonts w:hint="eastAsia" w:ascii="宋体" w:hAnsi="宋体"/>
          <w:b/>
          <w:bCs/>
          <w:sz w:val="24"/>
        </w:rPr>
      </w:pPr>
      <w:r>
        <w:rPr>
          <w:rFonts w:hint="eastAsia" w:ascii="宋体" w:hAnsi="宋体"/>
          <w:b/>
          <w:bCs/>
          <w:sz w:val="24"/>
        </w:rPr>
        <w:t>（九）响应文件构成</w:t>
      </w:r>
    </w:p>
    <w:p w14:paraId="1D321217">
      <w:pPr>
        <w:spacing w:line="440" w:lineRule="exact"/>
        <w:ind w:firstLine="482" w:firstLineChars="200"/>
        <w:rPr>
          <w:rFonts w:hint="eastAsia" w:ascii="宋体" w:hAnsi="宋体"/>
          <w:b/>
          <w:sz w:val="24"/>
        </w:rPr>
      </w:pPr>
      <w:r>
        <w:rPr>
          <w:rFonts w:hint="eastAsia" w:ascii="宋体" w:hAnsi="宋体"/>
          <w:b/>
          <w:sz w:val="24"/>
        </w:rPr>
        <w:t>1、资格、资质证明文件</w:t>
      </w:r>
    </w:p>
    <w:p w14:paraId="24ECB647">
      <w:pPr>
        <w:spacing w:line="440" w:lineRule="exact"/>
        <w:ind w:firstLine="480" w:firstLineChars="200"/>
        <w:rPr>
          <w:rFonts w:hint="eastAsia" w:ascii="宋体" w:hAnsi="宋体"/>
          <w:color w:val="FF0000"/>
          <w:sz w:val="24"/>
        </w:rPr>
      </w:pPr>
      <w:r>
        <w:rPr>
          <w:rFonts w:hint="eastAsia" w:ascii="宋体" w:hAnsi="宋体"/>
          <w:color w:val="FF0000"/>
          <w:sz w:val="24"/>
        </w:rPr>
        <w:t>详见“第一部分”。</w:t>
      </w:r>
    </w:p>
    <w:p w14:paraId="281984EE">
      <w:pPr>
        <w:spacing w:line="440" w:lineRule="exact"/>
        <w:ind w:firstLine="482" w:firstLineChars="200"/>
        <w:rPr>
          <w:rFonts w:hint="eastAsia" w:ascii="宋体" w:hAnsi="宋体"/>
          <w:b/>
          <w:sz w:val="24"/>
        </w:rPr>
      </w:pPr>
      <w:r>
        <w:rPr>
          <w:rFonts w:hint="eastAsia" w:ascii="宋体" w:hAnsi="宋体"/>
          <w:b/>
          <w:sz w:val="24"/>
        </w:rPr>
        <w:t>2．响应报价：</w:t>
      </w:r>
    </w:p>
    <w:p w14:paraId="760D6EB5">
      <w:pPr>
        <w:spacing w:line="500" w:lineRule="exact"/>
        <w:ind w:firstLine="480" w:firstLineChars="200"/>
        <w:rPr>
          <w:rFonts w:hint="eastAsia" w:ascii="宋体" w:hAnsi="宋体"/>
          <w:color w:val="FF0000"/>
          <w:sz w:val="24"/>
          <w:szCs w:val="24"/>
        </w:rPr>
      </w:pPr>
      <w:r>
        <w:rPr>
          <w:rFonts w:hint="eastAsia" w:ascii="宋体" w:hAnsi="宋体"/>
          <w:color w:val="FF0000"/>
          <w:sz w:val="24"/>
          <w:szCs w:val="24"/>
        </w:rPr>
        <w:t>（1）报价为一次报价，于开标会议当场宣读。</w:t>
      </w:r>
    </w:p>
    <w:p w14:paraId="7C5D0432">
      <w:pPr>
        <w:spacing w:line="500" w:lineRule="exact"/>
        <w:ind w:firstLine="480" w:firstLineChars="200"/>
        <w:rPr>
          <w:rFonts w:hint="eastAsia" w:ascii="宋体" w:hAnsi="宋体"/>
          <w:sz w:val="24"/>
          <w:szCs w:val="24"/>
        </w:rPr>
      </w:pPr>
      <w:r>
        <w:rPr>
          <w:rFonts w:hint="eastAsia" w:ascii="宋体" w:hAnsi="宋体"/>
          <w:sz w:val="24"/>
          <w:szCs w:val="24"/>
        </w:rPr>
        <w:t>（2）本项目不接受备选响应方案或有选择的报价，每个项目只允许有一个报价。</w:t>
      </w:r>
    </w:p>
    <w:p w14:paraId="1776E87B">
      <w:pPr>
        <w:spacing w:line="360" w:lineRule="auto"/>
        <w:ind w:firstLine="482" w:firstLineChars="200"/>
        <w:rPr>
          <w:rFonts w:hint="eastAsia" w:ascii="宋体" w:hAnsi="宋体"/>
          <w:b/>
          <w:bCs/>
          <w:sz w:val="24"/>
        </w:rPr>
      </w:pPr>
      <w:r>
        <w:rPr>
          <w:rFonts w:hint="eastAsia" w:ascii="宋体" w:hAnsi="宋体"/>
          <w:b/>
          <w:bCs/>
          <w:sz w:val="24"/>
        </w:rPr>
        <w:t>（十）响应文件格式</w:t>
      </w:r>
    </w:p>
    <w:p w14:paraId="47C162F7">
      <w:pPr>
        <w:spacing w:line="360" w:lineRule="auto"/>
        <w:ind w:firstLine="480" w:firstLineChars="200"/>
        <w:rPr>
          <w:rFonts w:hint="eastAsia" w:ascii="宋体" w:hAnsi="宋体"/>
          <w:sz w:val="24"/>
        </w:rPr>
      </w:pPr>
      <w:r>
        <w:rPr>
          <w:rFonts w:hint="eastAsia" w:ascii="宋体" w:hAnsi="宋体"/>
          <w:sz w:val="24"/>
        </w:rPr>
        <w:t>响应人需按上述响应文件构成顺序装订成册，并按招标文件中提供的响应文件格式填写响应函、授权委托书、报价一览表等材料。</w:t>
      </w:r>
    </w:p>
    <w:p w14:paraId="60FE84FB">
      <w:pPr>
        <w:spacing w:line="440" w:lineRule="exact"/>
        <w:ind w:firstLine="482" w:firstLineChars="200"/>
        <w:rPr>
          <w:rFonts w:hint="eastAsia" w:ascii="宋体" w:hAnsi="宋体"/>
          <w:b/>
          <w:bCs/>
          <w:sz w:val="24"/>
        </w:rPr>
      </w:pPr>
      <w:r>
        <w:rPr>
          <w:rFonts w:hint="eastAsia" w:ascii="宋体" w:hAnsi="宋体"/>
          <w:b/>
          <w:bCs/>
          <w:sz w:val="24"/>
        </w:rPr>
        <w:t>（十一）响应文件份数和签署要求</w:t>
      </w:r>
    </w:p>
    <w:p w14:paraId="1F407690">
      <w:pPr>
        <w:spacing w:line="440" w:lineRule="exact"/>
        <w:ind w:firstLine="480" w:firstLineChars="200"/>
        <w:rPr>
          <w:rFonts w:hint="eastAsia" w:ascii="宋体" w:hAnsi="宋体"/>
          <w:sz w:val="24"/>
        </w:rPr>
      </w:pPr>
      <w:r>
        <w:rPr>
          <w:rFonts w:hint="eastAsia" w:ascii="宋体" w:hAnsi="宋体"/>
          <w:sz w:val="24"/>
        </w:rPr>
        <w:t>1、响应人应严格按照响应须知的要求准备响应文件，正本1份。每份响应文件封面显著处必须清楚地标明“正本”字样。</w:t>
      </w:r>
    </w:p>
    <w:p w14:paraId="071142F0">
      <w:pPr>
        <w:spacing w:line="440" w:lineRule="exact"/>
        <w:ind w:firstLine="480" w:firstLineChars="200"/>
        <w:rPr>
          <w:rFonts w:hint="eastAsia" w:ascii="宋体" w:hAnsi="宋体"/>
          <w:sz w:val="24"/>
        </w:rPr>
      </w:pPr>
      <w:r>
        <w:rPr>
          <w:rFonts w:hint="eastAsia" w:ascii="宋体" w:hAnsi="宋体"/>
          <w:sz w:val="24"/>
        </w:rPr>
        <w:t>2、除响应人对错处做必要修改外，响应文件不得行间插字、涂改或增删，必要的修改处必须有响应人法人代表或其授权代表人签字并盖公章。</w:t>
      </w:r>
    </w:p>
    <w:p w14:paraId="3C41B5BF">
      <w:pPr>
        <w:spacing w:line="440" w:lineRule="exact"/>
        <w:ind w:firstLine="472" w:firstLineChars="196"/>
        <w:rPr>
          <w:rFonts w:hint="eastAsia" w:ascii="宋体" w:hAnsi="宋体"/>
          <w:b/>
          <w:bCs/>
          <w:sz w:val="24"/>
        </w:rPr>
      </w:pPr>
      <w:r>
        <w:rPr>
          <w:rFonts w:hint="eastAsia" w:ascii="宋体" w:hAnsi="宋体"/>
          <w:b/>
          <w:bCs/>
          <w:sz w:val="24"/>
        </w:rPr>
        <w:t>（十二）响应文件密封和装订</w:t>
      </w:r>
    </w:p>
    <w:p w14:paraId="3FE641F2">
      <w:pPr>
        <w:spacing w:line="440" w:lineRule="exact"/>
        <w:ind w:firstLine="480" w:firstLineChars="200"/>
        <w:rPr>
          <w:rFonts w:hint="eastAsia" w:ascii="宋体" w:hAnsi="宋体"/>
          <w:sz w:val="24"/>
        </w:rPr>
      </w:pPr>
      <w:r>
        <w:rPr>
          <w:rFonts w:hint="eastAsia" w:ascii="宋体" w:hAnsi="宋体"/>
          <w:sz w:val="24"/>
        </w:rPr>
        <w:t>1.响应人应将响应文件正本密封包装，密封件外层正面应注明响应人名称、响应项目名称、项目编号，并在封面加盖公章，因标注不清而产生后果的由响应人自负。</w:t>
      </w:r>
    </w:p>
    <w:p w14:paraId="7F7CA76B">
      <w:pPr>
        <w:spacing w:line="440" w:lineRule="exact"/>
        <w:ind w:firstLine="480" w:firstLineChars="200"/>
        <w:rPr>
          <w:rFonts w:hint="eastAsia" w:ascii="宋体" w:hAnsi="宋体"/>
          <w:sz w:val="24"/>
        </w:rPr>
      </w:pPr>
      <w:r>
        <w:rPr>
          <w:rFonts w:hint="eastAsia" w:ascii="宋体" w:hAnsi="宋体"/>
          <w:sz w:val="24"/>
        </w:rPr>
        <w:t>2.除响应文件应包括报价一览表外，响应人还应将报价一览表单独密封一份，与响应文件一并递交。密封方式同响应文件要求，并在封面上注明“报价一览表”字样。</w:t>
      </w:r>
    </w:p>
    <w:p w14:paraId="6C2FB126">
      <w:pPr>
        <w:spacing w:line="440" w:lineRule="exact"/>
        <w:jc w:val="center"/>
        <w:rPr>
          <w:rFonts w:hint="eastAsia" w:ascii="宋体" w:hAnsi="宋体"/>
          <w:sz w:val="36"/>
          <w:szCs w:val="36"/>
        </w:rPr>
      </w:pPr>
    </w:p>
    <w:p w14:paraId="7CABF39D">
      <w:pPr>
        <w:spacing w:line="440" w:lineRule="exact"/>
        <w:jc w:val="center"/>
        <w:rPr>
          <w:rFonts w:hint="eastAsia" w:ascii="宋体" w:hAnsi="宋体"/>
          <w:sz w:val="36"/>
          <w:szCs w:val="36"/>
        </w:rPr>
      </w:pPr>
      <w:r>
        <w:rPr>
          <w:rFonts w:hint="eastAsia" w:ascii="宋体" w:hAnsi="宋体"/>
          <w:sz w:val="36"/>
          <w:szCs w:val="36"/>
        </w:rPr>
        <w:t>四、响应文件的递交</w:t>
      </w:r>
    </w:p>
    <w:p w14:paraId="6BADD521">
      <w:pPr>
        <w:spacing w:line="440" w:lineRule="exact"/>
        <w:rPr>
          <w:rFonts w:hint="eastAsia" w:ascii="宋体" w:hAnsi="宋体"/>
          <w:b/>
          <w:bCs/>
          <w:sz w:val="24"/>
        </w:rPr>
      </w:pPr>
      <w:r>
        <w:rPr>
          <w:rFonts w:hint="eastAsia" w:ascii="宋体" w:hAnsi="宋体"/>
          <w:b/>
          <w:bCs/>
          <w:sz w:val="24"/>
        </w:rPr>
        <w:t>（十三）响应文件的递交</w:t>
      </w:r>
    </w:p>
    <w:p w14:paraId="06D64003">
      <w:pPr>
        <w:spacing w:line="500" w:lineRule="exact"/>
        <w:ind w:right="105" w:rightChars="50" w:firstLine="480" w:firstLineChars="200"/>
        <w:rPr>
          <w:rFonts w:hint="eastAsia" w:ascii="宋体" w:hAnsi="宋体"/>
          <w:sz w:val="24"/>
        </w:rPr>
      </w:pPr>
      <w:r>
        <w:rPr>
          <w:rFonts w:hint="eastAsia" w:ascii="宋体" w:hAnsi="宋体"/>
          <w:sz w:val="24"/>
        </w:rPr>
        <w:t xml:space="preserve">1.响应人应在招标文件规定的招标截止时间前提交响应文件。响应文件提交截止时间后，响应人对响应报价或其他实质性内容修正的函件和增加的任何优惠条件，一律拒绝接收。 </w:t>
      </w:r>
    </w:p>
    <w:p w14:paraId="646271A7">
      <w:pPr>
        <w:spacing w:line="500" w:lineRule="exact"/>
        <w:ind w:right="105" w:rightChars="50" w:firstLine="480" w:firstLineChars="200"/>
        <w:rPr>
          <w:rFonts w:hint="eastAsia" w:ascii="宋体" w:hAnsi="宋体"/>
          <w:sz w:val="24"/>
        </w:rPr>
      </w:pPr>
      <w:r>
        <w:rPr>
          <w:rFonts w:hint="eastAsia" w:ascii="宋体" w:hAnsi="宋体"/>
          <w:sz w:val="24"/>
        </w:rPr>
        <w:t>2.响应人所提交的响应文件不予退还。</w:t>
      </w:r>
    </w:p>
    <w:p w14:paraId="2FAF0735">
      <w:pPr>
        <w:spacing w:line="500" w:lineRule="exact"/>
        <w:ind w:right="105" w:rightChars="50" w:firstLine="480" w:firstLineChars="200"/>
        <w:rPr>
          <w:rFonts w:hint="eastAsia" w:ascii="宋体" w:hAnsi="宋体"/>
          <w:sz w:val="24"/>
        </w:rPr>
      </w:pPr>
      <w:r>
        <w:rPr>
          <w:rFonts w:hint="eastAsia" w:ascii="宋体" w:hAnsi="宋体"/>
          <w:sz w:val="24"/>
        </w:rPr>
        <w:t>3.招标单位可以通过修改招标文件酌情延长响应文件接收截止日期，在此情况下，响应人的所有权利和义务以及响应人受制约的截止日期均应以延长后新的截止日期为准。</w:t>
      </w:r>
    </w:p>
    <w:p w14:paraId="68B4598A">
      <w:pPr>
        <w:spacing w:line="440" w:lineRule="exact"/>
        <w:rPr>
          <w:rFonts w:hint="eastAsia" w:ascii="宋体" w:hAnsi="宋体"/>
          <w:b/>
          <w:bCs/>
          <w:sz w:val="24"/>
        </w:rPr>
      </w:pPr>
      <w:r>
        <w:rPr>
          <w:rFonts w:hint="eastAsia" w:ascii="宋体" w:hAnsi="宋体"/>
          <w:b/>
          <w:bCs/>
          <w:sz w:val="24"/>
        </w:rPr>
        <w:t>（十四）响应文件被拒绝接收的情形</w:t>
      </w:r>
    </w:p>
    <w:p w14:paraId="69DBE270">
      <w:pPr>
        <w:spacing w:line="500" w:lineRule="exact"/>
        <w:ind w:right="105" w:rightChars="50" w:firstLine="480" w:firstLineChars="200"/>
        <w:rPr>
          <w:rFonts w:hint="eastAsia" w:ascii="宋体" w:hAnsi="宋体"/>
          <w:sz w:val="24"/>
        </w:rPr>
      </w:pPr>
      <w:r>
        <w:rPr>
          <w:rFonts w:hint="eastAsia" w:ascii="宋体" w:hAnsi="宋体"/>
          <w:sz w:val="24"/>
        </w:rPr>
        <w:t>1.在响应文件规定的响应截止时间后送达的响应文件。</w:t>
      </w:r>
    </w:p>
    <w:p w14:paraId="338AE4B0">
      <w:pPr>
        <w:spacing w:line="440" w:lineRule="exact"/>
        <w:ind w:firstLine="480" w:firstLineChars="200"/>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未按</w:t>
      </w:r>
      <w:r>
        <w:rPr>
          <w:rFonts w:hint="eastAsia" w:ascii="宋体" w:hAnsi="宋体"/>
          <w:sz w:val="24"/>
        </w:rPr>
        <w:t>招标</w:t>
      </w:r>
      <w:r>
        <w:rPr>
          <w:rFonts w:ascii="宋体" w:hAnsi="宋体"/>
          <w:sz w:val="24"/>
        </w:rPr>
        <w:t>文件要求密封的响应文件。</w:t>
      </w:r>
    </w:p>
    <w:p w14:paraId="72741365">
      <w:pPr>
        <w:spacing w:line="440" w:lineRule="exact"/>
        <w:ind w:firstLine="480" w:firstLineChars="200"/>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供应商法定代表人或其授权委托人未携带本人身份证参与</w:t>
      </w:r>
      <w:r>
        <w:rPr>
          <w:rFonts w:hint="eastAsia" w:ascii="宋体" w:hAnsi="宋体"/>
          <w:sz w:val="24"/>
        </w:rPr>
        <w:t>招标</w:t>
      </w:r>
      <w:r>
        <w:rPr>
          <w:rFonts w:ascii="宋体" w:hAnsi="宋体"/>
          <w:sz w:val="24"/>
        </w:rPr>
        <w:t>磋</w:t>
      </w:r>
      <w:r>
        <w:rPr>
          <w:rFonts w:hint="eastAsia" w:ascii="宋体" w:hAnsi="宋体"/>
          <w:sz w:val="24"/>
        </w:rPr>
        <w:t>谈活动</w:t>
      </w:r>
      <w:r>
        <w:rPr>
          <w:rFonts w:ascii="宋体" w:hAnsi="宋体"/>
          <w:sz w:val="24"/>
        </w:rPr>
        <w:t>的</w:t>
      </w:r>
      <w:r>
        <w:rPr>
          <w:rFonts w:hint="eastAsia" w:ascii="宋体" w:hAnsi="宋体"/>
          <w:sz w:val="24"/>
        </w:rPr>
        <w:t>。</w:t>
      </w:r>
    </w:p>
    <w:p w14:paraId="6A18F343">
      <w:pPr>
        <w:spacing w:line="440" w:lineRule="exact"/>
        <w:rPr>
          <w:rFonts w:hint="eastAsia" w:ascii="宋体" w:hAnsi="宋体"/>
          <w:b/>
          <w:bCs/>
          <w:sz w:val="24"/>
        </w:rPr>
      </w:pPr>
      <w:bookmarkStart w:id="12" w:name="_Toc213839733"/>
      <w:r>
        <w:rPr>
          <w:rFonts w:hint="eastAsia" w:ascii="宋体" w:hAnsi="宋体"/>
          <w:b/>
          <w:bCs/>
          <w:sz w:val="24"/>
        </w:rPr>
        <w:t>（十五）响应文件的修改</w:t>
      </w:r>
      <w:bookmarkEnd w:id="12"/>
      <w:r>
        <w:rPr>
          <w:rFonts w:hint="eastAsia" w:ascii="宋体" w:hAnsi="宋体"/>
          <w:b/>
          <w:bCs/>
          <w:sz w:val="24"/>
        </w:rPr>
        <w:t>和撤回</w:t>
      </w:r>
    </w:p>
    <w:p w14:paraId="5A394EFE">
      <w:pPr>
        <w:spacing w:line="440" w:lineRule="exact"/>
        <w:ind w:firstLine="480" w:firstLineChars="200"/>
        <w:rPr>
          <w:rFonts w:hint="eastAsia" w:ascii="宋体" w:hAnsi="宋体"/>
          <w:b/>
          <w:bCs/>
          <w:sz w:val="24"/>
        </w:rPr>
      </w:pPr>
      <w:r>
        <w:rPr>
          <w:rFonts w:hint="eastAsia" w:ascii="宋体" w:hAnsi="宋体"/>
          <w:sz w:val="24"/>
        </w:rPr>
        <w:t>1．供应商在递交响应文件截止时间之前，对所递交的响应文件可以补充、修改，补充、修改的内容为响应文件的组成部分，对响应供应商具有约束力。</w:t>
      </w:r>
      <w:bookmarkStart w:id="13" w:name="_Toc213839734"/>
    </w:p>
    <w:p w14:paraId="63985790">
      <w:pPr>
        <w:spacing w:line="440" w:lineRule="exact"/>
        <w:ind w:firstLine="480" w:firstLineChars="200"/>
        <w:rPr>
          <w:rFonts w:hint="eastAsia" w:ascii="宋体" w:hAnsi="宋体"/>
          <w:sz w:val="24"/>
        </w:rPr>
      </w:pPr>
      <w:r>
        <w:rPr>
          <w:rFonts w:hint="eastAsia" w:ascii="宋体" w:hAnsi="宋体"/>
          <w:sz w:val="24"/>
        </w:rPr>
        <w:t>2．响应文件的修改或撤回应按规定进行编制、密封、标记和发送，并应在封套上加注“修改”和“撤回”字样。修改的文件必须在响应截止时间前送达。</w:t>
      </w:r>
    </w:p>
    <w:p w14:paraId="666421BA">
      <w:pPr>
        <w:spacing w:line="440" w:lineRule="exact"/>
        <w:ind w:firstLine="480" w:firstLineChars="200"/>
        <w:rPr>
          <w:rFonts w:hint="eastAsia" w:ascii="宋体" w:hAnsi="宋体"/>
          <w:sz w:val="24"/>
        </w:rPr>
      </w:pPr>
      <w:r>
        <w:rPr>
          <w:rFonts w:hint="eastAsia" w:ascii="宋体" w:hAnsi="宋体"/>
          <w:sz w:val="24"/>
        </w:rPr>
        <w:t>3．响应截止时间之后，响应人不得对其响应文件作任何修改，不得撤回响应文件。</w:t>
      </w:r>
      <w:bookmarkEnd w:id="13"/>
    </w:p>
    <w:p w14:paraId="2A6EC46C">
      <w:pPr>
        <w:spacing w:line="440" w:lineRule="exact"/>
        <w:jc w:val="center"/>
        <w:rPr>
          <w:rFonts w:hint="eastAsia" w:ascii="宋体" w:hAnsi="宋体"/>
          <w:sz w:val="36"/>
          <w:szCs w:val="36"/>
        </w:rPr>
      </w:pPr>
      <w:r>
        <w:rPr>
          <w:rFonts w:hint="eastAsia" w:ascii="宋体" w:hAnsi="宋体"/>
          <w:sz w:val="36"/>
          <w:szCs w:val="36"/>
        </w:rPr>
        <w:t>五、其他条款</w:t>
      </w:r>
    </w:p>
    <w:p w14:paraId="767233A1">
      <w:pPr>
        <w:spacing w:line="440" w:lineRule="exact"/>
        <w:rPr>
          <w:rFonts w:hint="eastAsia" w:ascii="宋体" w:hAnsi="宋体"/>
          <w:b/>
          <w:bCs/>
          <w:sz w:val="24"/>
        </w:rPr>
      </w:pPr>
      <w:r>
        <w:rPr>
          <w:rFonts w:hint="eastAsia" w:ascii="宋体" w:hAnsi="宋体"/>
          <w:b/>
          <w:bCs/>
          <w:sz w:val="24"/>
        </w:rPr>
        <w:t>（十六）无效标条款</w:t>
      </w:r>
    </w:p>
    <w:p w14:paraId="1633A3DF">
      <w:pPr>
        <w:spacing w:line="500" w:lineRule="exact"/>
        <w:ind w:firstLine="480" w:firstLineChars="200"/>
        <w:rPr>
          <w:rFonts w:hint="eastAsia" w:ascii="宋体" w:hAnsi="宋体" w:cs="宋体"/>
          <w:sz w:val="24"/>
        </w:rPr>
      </w:pPr>
      <w:r>
        <w:rPr>
          <w:rFonts w:hint="eastAsia" w:ascii="宋体" w:hAnsi="宋体" w:cs="宋体"/>
          <w:sz w:val="24"/>
        </w:rPr>
        <w:t>1.</w:t>
      </w:r>
      <w:r>
        <w:rPr>
          <w:rFonts w:ascii="宋体" w:hAnsi="宋体" w:cs="宋体"/>
          <w:sz w:val="24"/>
        </w:rPr>
        <w:t>响应人不符合</w:t>
      </w:r>
      <w:r>
        <w:rPr>
          <w:rFonts w:hint="eastAsia" w:ascii="宋体" w:hAnsi="宋体" w:cs="宋体"/>
          <w:sz w:val="24"/>
        </w:rPr>
        <w:t>招标</w:t>
      </w:r>
      <w:r>
        <w:rPr>
          <w:rFonts w:ascii="宋体" w:hAnsi="宋体" w:cs="宋体"/>
          <w:sz w:val="24"/>
        </w:rPr>
        <w:t>文件规定资格要求的或未按规定提交资质证件的；</w:t>
      </w:r>
    </w:p>
    <w:p w14:paraId="56226991">
      <w:pPr>
        <w:pStyle w:val="151"/>
        <w:spacing w:line="500" w:lineRule="exact"/>
        <w:ind w:firstLine="480" w:firstLineChars="200"/>
        <w:rPr>
          <w:rFonts w:hint="eastAsia" w:ascii="宋体" w:hAnsi="宋体" w:eastAsia="宋体" w:cs="宋体"/>
          <w:kern w:val="2"/>
          <w:szCs w:val="22"/>
        </w:rPr>
      </w:pPr>
      <w:r>
        <w:rPr>
          <w:rFonts w:hint="eastAsia" w:ascii="宋体" w:hAnsi="宋体" w:eastAsia="宋体" w:cs="宋体"/>
          <w:kern w:val="2"/>
          <w:szCs w:val="22"/>
        </w:rPr>
        <w:t>2.响应</w:t>
      </w:r>
      <w:r>
        <w:rPr>
          <w:rFonts w:ascii="宋体" w:hAnsi="宋体" w:eastAsia="宋体" w:cs="宋体"/>
          <w:kern w:val="2"/>
          <w:szCs w:val="22"/>
        </w:rPr>
        <w:t>文件签署、盖章不符合</w:t>
      </w:r>
      <w:r>
        <w:rPr>
          <w:rFonts w:hint="eastAsia" w:ascii="宋体" w:hAnsi="宋体" w:eastAsia="宋体" w:cs="宋体"/>
          <w:kern w:val="2"/>
          <w:szCs w:val="22"/>
        </w:rPr>
        <w:t>招标</w:t>
      </w:r>
      <w:r>
        <w:rPr>
          <w:rFonts w:ascii="宋体" w:hAnsi="宋体" w:eastAsia="宋体" w:cs="宋体"/>
          <w:kern w:val="2"/>
          <w:szCs w:val="22"/>
        </w:rPr>
        <w:t>文件要求的；</w:t>
      </w:r>
    </w:p>
    <w:p w14:paraId="0138CB6D">
      <w:pPr>
        <w:pStyle w:val="151"/>
        <w:spacing w:line="500" w:lineRule="exact"/>
        <w:ind w:firstLine="480" w:firstLineChars="200"/>
        <w:rPr>
          <w:rFonts w:hint="eastAsia" w:ascii="宋体" w:hAnsi="宋体" w:eastAsia="宋体" w:cs="宋体"/>
          <w:kern w:val="2"/>
          <w:szCs w:val="22"/>
        </w:rPr>
      </w:pPr>
      <w:r>
        <w:rPr>
          <w:rFonts w:hint="eastAsia" w:ascii="宋体" w:hAnsi="宋体" w:eastAsia="宋体" w:cs="宋体"/>
          <w:kern w:val="2"/>
          <w:szCs w:val="22"/>
        </w:rPr>
        <w:t>3.</w:t>
      </w:r>
      <w:r>
        <w:rPr>
          <w:rFonts w:ascii="宋体" w:hAnsi="宋体" w:eastAsia="宋体" w:cs="宋体"/>
          <w:kern w:val="2"/>
          <w:szCs w:val="22"/>
        </w:rPr>
        <w:t>报价超过</w:t>
      </w:r>
      <w:r>
        <w:rPr>
          <w:rFonts w:hint="eastAsia" w:ascii="宋体" w:hAnsi="宋体" w:eastAsia="宋体" w:cs="宋体"/>
          <w:kern w:val="2"/>
          <w:szCs w:val="22"/>
        </w:rPr>
        <w:t>招标</w:t>
      </w:r>
      <w:r>
        <w:rPr>
          <w:rFonts w:ascii="宋体" w:hAnsi="宋体" w:eastAsia="宋体" w:cs="宋体"/>
          <w:kern w:val="2"/>
          <w:szCs w:val="22"/>
        </w:rPr>
        <w:t>文件中规定的</w:t>
      </w:r>
      <w:r>
        <w:rPr>
          <w:rFonts w:hint="eastAsia" w:ascii="宋体" w:hAnsi="宋体" w:eastAsia="宋体" w:cs="宋体"/>
          <w:kern w:val="2"/>
          <w:szCs w:val="22"/>
        </w:rPr>
        <w:t>服务</w:t>
      </w:r>
      <w:r>
        <w:rPr>
          <w:rFonts w:ascii="宋体" w:hAnsi="宋体" w:eastAsia="宋体" w:cs="宋体"/>
          <w:kern w:val="2"/>
          <w:szCs w:val="22"/>
        </w:rPr>
        <w:t>收费标准的；</w:t>
      </w:r>
    </w:p>
    <w:p w14:paraId="7AE0CFB6">
      <w:pPr>
        <w:pStyle w:val="151"/>
        <w:spacing w:line="500" w:lineRule="exact"/>
        <w:ind w:firstLine="480" w:firstLineChars="200"/>
        <w:rPr>
          <w:rFonts w:hint="eastAsia" w:ascii="宋体" w:hAnsi="宋体" w:eastAsia="宋体" w:cs="宋体"/>
          <w:kern w:val="2"/>
          <w:szCs w:val="22"/>
        </w:rPr>
      </w:pPr>
      <w:r>
        <w:rPr>
          <w:rFonts w:hint="eastAsia" w:ascii="宋体" w:hAnsi="宋体" w:eastAsia="宋体" w:cs="宋体"/>
          <w:kern w:val="2"/>
          <w:szCs w:val="22"/>
        </w:rPr>
        <w:t>4.响应</w:t>
      </w:r>
      <w:r>
        <w:rPr>
          <w:rFonts w:ascii="宋体" w:hAnsi="宋体" w:eastAsia="宋体" w:cs="宋体"/>
          <w:kern w:val="2"/>
          <w:szCs w:val="22"/>
        </w:rPr>
        <w:t>文件出现重大偏离，未对</w:t>
      </w:r>
      <w:r>
        <w:rPr>
          <w:rFonts w:hint="eastAsia" w:ascii="宋体" w:hAnsi="宋体" w:eastAsia="宋体" w:cs="宋体"/>
          <w:kern w:val="2"/>
          <w:szCs w:val="22"/>
        </w:rPr>
        <w:t>招标</w:t>
      </w:r>
      <w:r>
        <w:rPr>
          <w:rFonts w:ascii="宋体" w:hAnsi="宋体" w:eastAsia="宋体" w:cs="宋体"/>
          <w:kern w:val="2"/>
          <w:szCs w:val="22"/>
        </w:rPr>
        <w:t>文件进行实质性响应的；</w:t>
      </w:r>
    </w:p>
    <w:p w14:paraId="1D8D8563">
      <w:pPr>
        <w:pStyle w:val="151"/>
        <w:spacing w:line="500" w:lineRule="exact"/>
        <w:ind w:firstLine="480" w:firstLineChars="200"/>
        <w:rPr>
          <w:rFonts w:hint="eastAsia" w:ascii="宋体" w:hAnsi="宋体" w:eastAsia="宋体" w:cs="宋体"/>
          <w:kern w:val="2"/>
          <w:szCs w:val="22"/>
        </w:rPr>
      </w:pPr>
      <w:r>
        <w:rPr>
          <w:rFonts w:hint="eastAsia" w:ascii="宋体" w:hAnsi="宋体" w:eastAsia="宋体" w:cs="宋体"/>
          <w:kern w:val="2"/>
          <w:szCs w:val="22"/>
        </w:rPr>
        <w:t>5.响应</w:t>
      </w:r>
      <w:r>
        <w:rPr>
          <w:rFonts w:ascii="宋体" w:hAnsi="宋体" w:eastAsia="宋体" w:cs="宋体"/>
          <w:kern w:val="2"/>
          <w:szCs w:val="22"/>
        </w:rPr>
        <w:t>文件含有</w:t>
      </w:r>
      <w:r>
        <w:rPr>
          <w:rFonts w:hint="eastAsia" w:ascii="宋体" w:hAnsi="宋体" w:eastAsia="宋体" w:cs="宋体"/>
          <w:kern w:val="2"/>
          <w:szCs w:val="22"/>
        </w:rPr>
        <w:t>招标人</w:t>
      </w:r>
      <w:r>
        <w:rPr>
          <w:rFonts w:ascii="宋体" w:hAnsi="宋体" w:eastAsia="宋体" w:cs="宋体"/>
          <w:kern w:val="2"/>
          <w:szCs w:val="22"/>
        </w:rPr>
        <w:t>不能接受的附加条件的；</w:t>
      </w:r>
    </w:p>
    <w:p w14:paraId="5942E72D">
      <w:pPr>
        <w:spacing w:line="440" w:lineRule="exact"/>
        <w:ind w:firstLine="480" w:firstLineChars="200"/>
        <w:rPr>
          <w:rFonts w:hint="eastAsia" w:ascii="宋体" w:hAnsi="宋体"/>
          <w:sz w:val="24"/>
        </w:rPr>
      </w:pPr>
      <w:r>
        <w:rPr>
          <w:rFonts w:hint="eastAsia" w:ascii="宋体" w:hAnsi="宋体" w:cs="宋体"/>
          <w:sz w:val="24"/>
        </w:rPr>
        <w:t>6.</w:t>
      </w:r>
      <w:r>
        <w:rPr>
          <w:rFonts w:hint="eastAsia" w:ascii="宋体" w:hAnsi="宋体"/>
          <w:sz w:val="24"/>
        </w:rPr>
        <w:t>响应人有本招标文件规定的恶意串通响应情形的；</w:t>
      </w:r>
    </w:p>
    <w:p w14:paraId="76AB9CBC">
      <w:pPr>
        <w:pStyle w:val="151"/>
        <w:spacing w:line="500" w:lineRule="exact"/>
        <w:ind w:firstLine="480" w:firstLineChars="200"/>
        <w:rPr>
          <w:rFonts w:hint="eastAsia" w:ascii="宋体" w:hAnsi="宋体" w:eastAsia="宋体" w:cs="宋体"/>
          <w:kern w:val="2"/>
          <w:szCs w:val="22"/>
        </w:rPr>
      </w:pPr>
      <w:r>
        <w:rPr>
          <w:rFonts w:hint="eastAsia" w:ascii="宋体" w:hAnsi="宋体" w:eastAsia="宋体" w:cs="宋体"/>
          <w:kern w:val="2"/>
          <w:szCs w:val="22"/>
        </w:rPr>
        <w:t>7.</w:t>
      </w:r>
      <w:r>
        <w:rPr>
          <w:rFonts w:ascii="宋体" w:hAnsi="宋体" w:eastAsia="宋体" w:cs="宋体"/>
          <w:kern w:val="2"/>
          <w:szCs w:val="22"/>
        </w:rPr>
        <w:t>其它评</w:t>
      </w:r>
      <w:r>
        <w:rPr>
          <w:rFonts w:hint="eastAsia" w:ascii="宋体" w:hAnsi="宋体" w:eastAsia="宋体" w:cs="宋体"/>
          <w:kern w:val="2"/>
          <w:szCs w:val="22"/>
        </w:rPr>
        <w:t>审小组</w:t>
      </w:r>
      <w:r>
        <w:rPr>
          <w:rFonts w:ascii="宋体" w:hAnsi="宋体" w:eastAsia="宋体" w:cs="宋体"/>
          <w:kern w:val="2"/>
          <w:szCs w:val="22"/>
        </w:rPr>
        <w:t>认为有必要取消的</w:t>
      </w:r>
      <w:r>
        <w:rPr>
          <w:rFonts w:hint="eastAsia" w:ascii="宋体" w:hAnsi="宋体" w:eastAsia="宋体" w:cs="宋体"/>
          <w:kern w:val="2"/>
          <w:szCs w:val="22"/>
        </w:rPr>
        <w:t>响应；</w:t>
      </w:r>
    </w:p>
    <w:p w14:paraId="30A8CE03">
      <w:pPr>
        <w:spacing w:line="500" w:lineRule="exact"/>
        <w:rPr>
          <w:rFonts w:hint="eastAsia" w:ascii="宋体" w:hAnsi="宋体"/>
          <w:b/>
          <w:sz w:val="24"/>
        </w:rPr>
      </w:pPr>
      <w:r>
        <w:rPr>
          <w:rFonts w:hint="eastAsia" w:ascii="宋体" w:hAnsi="宋体"/>
          <w:b/>
          <w:sz w:val="24"/>
          <w:highlight w:val="white"/>
        </w:rPr>
        <w:t>（十七）废标条款</w:t>
      </w:r>
    </w:p>
    <w:p w14:paraId="56F40A5A">
      <w:pPr>
        <w:snapToGrid w:val="0"/>
        <w:spacing w:line="500" w:lineRule="exact"/>
        <w:ind w:firstLine="480" w:firstLineChars="200"/>
        <w:rPr>
          <w:rFonts w:hint="eastAsia" w:ascii="宋体" w:hAnsi="宋体" w:cs="宋体"/>
          <w:sz w:val="24"/>
        </w:rPr>
      </w:pPr>
      <w:r>
        <w:rPr>
          <w:rFonts w:hint="eastAsia" w:ascii="宋体" w:hAnsi="宋体" w:cs="宋体"/>
          <w:sz w:val="24"/>
        </w:rPr>
        <w:t>1.出现影响公正的违法、违规行为的；</w:t>
      </w:r>
    </w:p>
    <w:p w14:paraId="6B3E008D">
      <w:pPr>
        <w:snapToGrid w:val="0"/>
        <w:spacing w:line="500" w:lineRule="exact"/>
        <w:ind w:firstLine="480" w:firstLineChars="200"/>
        <w:rPr>
          <w:rFonts w:hint="eastAsia" w:ascii="宋体" w:hAnsi="宋体" w:cs="宋体"/>
          <w:sz w:val="24"/>
        </w:rPr>
      </w:pPr>
      <w:r>
        <w:rPr>
          <w:rFonts w:hint="eastAsia" w:ascii="宋体" w:hAnsi="宋体" w:cs="宋体"/>
          <w:sz w:val="24"/>
        </w:rPr>
        <w:t>2.因重大变故，招标活动取消的。</w:t>
      </w:r>
    </w:p>
    <w:p w14:paraId="44A8039B">
      <w:pPr>
        <w:spacing w:line="440" w:lineRule="exact"/>
        <w:rPr>
          <w:rFonts w:hint="eastAsia" w:ascii="宋体" w:hAnsi="宋体"/>
          <w:b/>
          <w:bCs/>
          <w:sz w:val="24"/>
        </w:rPr>
      </w:pPr>
      <w:r>
        <w:rPr>
          <w:rFonts w:hint="eastAsia" w:ascii="宋体" w:hAnsi="宋体"/>
          <w:b/>
          <w:bCs/>
          <w:sz w:val="24"/>
        </w:rPr>
        <w:t>（十八）取消中标候选人资格条款</w:t>
      </w:r>
    </w:p>
    <w:p w14:paraId="7C9F17D0">
      <w:pPr>
        <w:snapToGrid w:val="0"/>
        <w:spacing w:line="440" w:lineRule="exact"/>
        <w:ind w:firstLine="480" w:firstLineChars="200"/>
        <w:rPr>
          <w:rFonts w:hint="eastAsia" w:ascii="宋体" w:hAnsi="宋体"/>
          <w:sz w:val="24"/>
        </w:rPr>
      </w:pPr>
      <w:r>
        <w:rPr>
          <w:rFonts w:hint="eastAsia" w:ascii="宋体" w:hAnsi="宋体"/>
          <w:sz w:val="24"/>
        </w:rPr>
        <w:t>1．提供虚假材料谋取中标的；</w:t>
      </w:r>
    </w:p>
    <w:p w14:paraId="7E6183D7">
      <w:pPr>
        <w:snapToGrid w:val="0"/>
        <w:spacing w:line="440" w:lineRule="exact"/>
        <w:ind w:firstLine="480" w:firstLineChars="200"/>
        <w:rPr>
          <w:rFonts w:hint="eastAsia" w:ascii="宋体" w:hAnsi="宋体"/>
          <w:sz w:val="24"/>
        </w:rPr>
      </w:pPr>
      <w:r>
        <w:rPr>
          <w:rFonts w:hint="eastAsia" w:ascii="宋体" w:hAnsi="宋体"/>
          <w:sz w:val="24"/>
        </w:rPr>
        <w:t>2．采取不正当手段诋毁、排挤其他响应人的；</w:t>
      </w:r>
    </w:p>
    <w:p w14:paraId="7E0BC3EA">
      <w:pPr>
        <w:snapToGrid w:val="0"/>
        <w:spacing w:line="440" w:lineRule="exact"/>
        <w:ind w:firstLine="480" w:firstLineChars="200"/>
        <w:rPr>
          <w:rFonts w:hint="eastAsia" w:ascii="宋体" w:hAnsi="宋体"/>
          <w:sz w:val="24"/>
        </w:rPr>
      </w:pPr>
      <w:r>
        <w:rPr>
          <w:rFonts w:hint="eastAsia" w:ascii="宋体" w:hAnsi="宋体"/>
          <w:sz w:val="24"/>
        </w:rPr>
        <w:t>3．与招标人、其他响应人恶意串通的；</w:t>
      </w:r>
    </w:p>
    <w:p w14:paraId="2467EF1B">
      <w:pPr>
        <w:snapToGrid w:val="0"/>
        <w:spacing w:line="440" w:lineRule="exact"/>
        <w:ind w:firstLine="480" w:firstLineChars="200"/>
        <w:rPr>
          <w:rFonts w:hint="eastAsia" w:ascii="宋体" w:hAnsi="宋体"/>
          <w:sz w:val="24"/>
        </w:rPr>
      </w:pPr>
      <w:r>
        <w:rPr>
          <w:rFonts w:hint="eastAsia" w:ascii="宋体" w:hAnsi="宋体"/>
          <w:sz w:val="24"/>
        </w:rPr>
        <w:t>4．向招标人行贿或者提供其他不正当利益的；</w:t>
      </w:r>
    </w:p>
    <w:p w14:paraId="424CA577">
      <w:pPr>
        <w:snapToGrid w:val="0"/>
        <w:spacing w:line="440" w:lineRule="exact"/>
        <w:ind w:firstLine="480" w:firstLineChars="200"/>
        <w:rPr>
          <w:rFonts w:hint="eastAsia" w:ascii="宋体" w:hAnsi="宋体"/>
          <w:sz w:val="24"/>
        </w:rPr>
      </w:pPr>
      <w:r>
        <w:rPr>
          <w:rFonts w:hint="eastAsia" w:ascii="宋体" w:hAnsi="宋体"/>
          <w:sz w:val="24"/>
        </w:rPr>
        <w:t>5．在规定时间内未与招标人签订合同的；</w:t>
      </w:r>
    </w:p>
    <w:p w14:paraId="1174AB16">
      <w:pPr>
        <w:snapToGrid w:val="0"/>
        <w:spacing w:line="440" w:lineRule="exact"/>
        <w:ind w:firstLine="480" w:firstLineChars="200"/>
        <w:rPr>
          <w:rFonts w:hint="eastAsia" w:ascii="宋体" w:hAnsi="宋体"/>
          <w:sz w:val="24"/>
        </w:rPr>
      </w:pPr>
      <w:r>
        <w:rPr>
          <w:rFonts w:hint="eastAsia" w:ascii="宋体" w:hAnsi="宋体"/>
          <w:sz w:val="24"/>
        </w:rPr>
        <w:t>6．法律、法规规定的其他情况。</w:t>
      </w:r>
    </w:p>
    <w:p w14:paraId="43D43133">
      <w:pPr>
        <w:spacing w:line="440" w:lineRule="exact"/>
        <w:rPr>
          <w:rFonts w:hint="eastAsia" w:ascii="宋体" w:hAnsi="宋体"/>
          <w:b/>
          <w:bCs/>
          <w:sz w:val="24"/>
        </w:rPr>
      </w:pPr>
      <w:r>
        <w:rPr>
          <w:rFonts w:hint="eastAsia" w:ascii="宋体" w:hAnsi="宋体"/>
          <w:b/>
          <w:bCs/>
          <w:sz w:val="24"/>
        </w:rPr>
        <w:t>（十九）恶意串通响应的情形</w:t>
      </w:r>
    </w:p>
    <w:p w14:paraId="3E7052EF">
      <w:pPr>
        <w:snapToGrid w:val="0"/>
        <w:spacing w:line="440" w:lineRule="exact"/>
        <w:ind w:firstLine="480" w:firstLineChars="200"/>
        <w:rPr>
          <w:rFonts w:hint="eastAsia" w:ascii="宋体" w:hAnsi="宋体"/>
          <w:sz w:val="24"/>
        </w:rPr>
      </w:pPr>
      <w:r>
        <w:rPr>
          <w:rFonts w:hint="eastAsia" w:ascii="宋体" w:hAnsi="宋体"/>
          <w:sz w:val="24"/>
        </w:rPr>
        <w:t>1．响应人直接或间接从招标人处获得其他响应人的响应情况，并修改其响应文件；</w:t>
      </w:r>
    </w:p>
    <w:p w14:paraId="762A79C1">
      <w:pPr>
        <w:snapToGrid w:val="0"/>
        <w:spacing w:line="440" w:lineRule="exact"/>
        <w:ind w:firstLine="480" w:firstLineChars="200"/>
        <w:rPr>
          <w:rFonts w:hint="eastAsia" w:ascii="宋体" w:hAnsi="宋体"/>
          <w:sz w:val="24"/>
        </w:rPr>
      </w:pPr>
      <w:r>
        <w:rPr>
          <w:rFonts w:hint="eastAsia" w:ascii="宋体" w:hAnsi="宋体"/>
          <w:sz w:val="24"/>
        </w:rPr>
        <w:t>2．评审活动开始前响应人直接或间接从招标人获得评审小组组成人员情况；</w:t>
      </w:r>
    </w:p>
    <w:p w14:paraId="568DE6A2">
      <w:pPr>
        <w:snapToGrid w:val="0"/>
        <w:spacing w:line="440" w:lineRule="exact"/>
        <w:ind w:firstLine="480" w:firstLineChars="200"/>
        <w:rPr>
          <w:rFonts w:hint="eastAsia" w:ascii="宋体" w:hAnsi="宋体"/>
          <w:sz w:val="24"/>
        </w:rPr>
      </w:pPr>
      <w:r>
        <w:rPr>
          <w:rFonts w:hint="eastAsia" w:ascii="宋体" w:hAnsi="宋体"/>
          <w:sz w:val="24"/>
        </w:rPr>
        <w:t>3．响应人接受招标人授意撤换、修改响应文件；</w:t>
      </w:r>
    </w:p>
    <w:p w14:paraId="1CD5C911">
      <w:pPr>
        <w:snapToGrid w:val="0"/>
        <w:spacing w:line="440" w:lineRule="exact"/>
        <w:ind w:firstLine="480" w:firstLineChars="200"/>
        <w:rPr>
          <w:rFonts w:hint="eastAsia" w:ascii="宋体" w:hAnsi="宋体"/>
          <w:sz w:val="24"/>
        </w:rPr>
      </w:pPr>
      <w:r>
        <w:rPr>
          <w:rFonts w:hint="eastAsia" w:ascii="宋体" w:hAnsi="宋体"/>
          <w:sz w:val="24"/>
        </w:rPr>
        <w:t>4．响应人之间协商响应报价、技术方案等响应文件实质性内容；</w:t>
      </w:r>
    </w:p>
    <w:p w14:paraId="508F6073">
      <w:pPr>
        <w:snapToGrid w:val="0"/>
        <w:spacing w:line="440" w:lineRule="exact"/>
        <w:ind w:firstLine="480" w:firstLineChars="200"/>
        <w:rPr>
          <w:rFonts w:hint="eastAsia" w:ascii="宋体" w:hAnsi="宋体"/>
          <w:sz w:val="24"/>
        </w:rPr>
      </w:pPr>
      <w:r>
        <w:rPr>
          <w:rFonts w:hint="eastAsia" w:ascii="宋体" w:hAnsi="宋体"/>
          <w:sz w:val="24"/>
        </w:rPr>
        <w:t>5．属于同一集团、协会、商会等组织成员的响应人按照该组织要求协同参与招标活动的；</w:t>
      </w:r>
    </w:p>
    <w:p w14:paraId="2773FC5D">
      <w:pPr>
        <w:snapToGrid w:val="0"/>
        <w:spacing w:line="440" w:lineRule="exact"/>
        <w:ind w:firstLine="480" w:firstLineChars="200"/>
        <w:rPr>
          <w:rFonts w:hint="eastAsia" w:ascii="宋体" w:hAnsi="宋体"/>
          <w:sz w:val="24"/>
        </w:rPr>
      </w:pPr>
      <w:r>
        <w:rPr>
          <w:rFonts w:hint="eastAsia" w:ascii="宋体" w:hAnsi="宋体"/>
          <w:sz w:val="24"/>
        </w:rPr>
        <w:t>6．响应人之间事先约定由某一特定响应人中标；</w:t>
      </w:r>
    </w:p>
    <w:p w14:paraId="27A5346F">
      <w:pPr>
        <w:snapToGrid w:val="0"/>
        <w:spacing w:line="440" w:lineRule="exact"/>
        <w:ind w:firstLine="480" w:firstLineChars="200"/>
        <w:rPr>
          <w:rFonts w:hint="eastAsia" w:ascii="宋体" w:hAnsi="宋体"/>
          <w:sz w:val="24"/>
        </w:rPr>
      </w:pPr>
      <w:r>
        <w:rPr>
          <w:rFonts w:hint="eastAsia" w:ascii="宋体" w:hAnsi="宋体"/>
          <w:sz w:val="24"/>
        </w:rPr>
        <w:t>7．响应人之间商定部分响应人放弃响应或者放弃中标；</w:t>
      </w:r>
    </w:p>
    <w:p w14:paraId="07D94618">
      <w:pPr>
        <w:snapToGrid w:val="0"/>
        <w:spacing w:line="440" w:lineRule="exact"/>
        <w:ind w:firstLine="480" w:firstLineChars="200"/>
        <w:rPr>
          <w:rFonts w:hint="eastAsia" w:ascii="宋体" w:hAnsi="宋体"/>
          <w:sz w:val="24"/>
        </w:rPr>
      </w:pPr>
      <w:r>
        <w:rPr>
          <w:rFonts w:hint="eastAsia" w:ascii="宋体" w:hAnsi="宋体"/>
          <w:sz w:val="24"/>
        </w:rPr>
        <w:t>8．响应人与招标人之间、响应人相互之间为谋求特定响应人中标或者排斥其他响应人的其他串通行为；</w:t>
      </w:r>
    </w:p>
    <w:p w14:paraId="3562A9F0">
      <w:pPr>
        <w:snapToGrid w:val="0"/>
        <w:spacing w:line="440" w:lineRule="exact"/>
        <w:ind w:firstLine="480" w:firstLineChars="200"/>
        <w:rPr>
          <w:rFonts w:hint="eastAsia" w:ascii="宋体" w:hAnsi="宋体"/>
          <w:sz w:val="24"/>
        </w:rPr>
      </w:pPr>
      <w:r>
        <w:rPr>
          <w:rFonts w:hint="eastAsia" w:ascii="宋体" w:hAnsi="宋体"/>
          <w:sz w:val="24"/>
        </w:rPr>
        <w:t>9．不同响应人的响应文件由同一单位或者个人编制；</w:t>
      </w:r>
    </w:p>
    <w:p w14:paraId="251E1DE7">
      <w:pPr>
        <w:snapToGrid w:val="0"/>
        <w:spacing w:line="440" w:lineRule="exact"/>
        <w:ind w:firstLine="480" w:firstLineChars="200"/>
        <w:rPr>
          <w:rFonts w:hint="eastAsia" w:ascii="宋体" w:hAnsi="宋体"/>
          <w:sz w:val="24"/>
        </w:rPr>
      </w:pPr>
      <w:r>
        <w:rPr>
          <w:rFonts w:hint="eastAsia" w:ascii="宋体" w:hAnsi="宋体"/>
          <w:sz w:val="24"/>
        </w:rPr>
        <w:t>10．不同响应人委托同一单位或者个人办理响应事宜；</w:t>
      </w:r>
    </w:p>
    <w:p w14:paraId="0F6DE5DC">
      <w:pPr>
        <w:snapToGrid w:val="0"/>
        <w:spacing w:line="440" w:lineRule="exact"/>
        <w:ind w:firstLine="480" w:firstLineChars="200"/>
        <w:rPr>
          <w:rFonts w:hint="eastAsia" w:ascii="宋体" w:hAnsi="宋体"/>
          <w:sz w:val="24"/>
        </w:rPr>
      </w:pPr>
      <w:r>
        <w:rPr>
          <w:rFonts w:hint="eastAsia" w:ascii="宋体" w:hAnsi="宋体"/>
          <w:sz w:val="24"/>
        </w:rPr>
        <w:t>11．不同响应人的响应文件载明的项目管理成员为同一人；</w:t>
      </w:r>
    </w:p>
    <w:p w14:paraId="0617F295">
      <w:pPr>
        <w:snapToGrid w:val="0"/>
        <w:spacing w:line="440" w:lineRule="exact"/>
        <w:ind w:firstLine="480" w:firstLineChars="200"/>
        <w:rPr>
          <w:rFonts w:hint="eastAsia" w:ascii="宋体" w:hAnsi="宋体"/>
          <w:sz w:val="24"/>
        </w:rPr>
      </w:pPr>
      <w:r>
        <w:rPr>
          <w:rFonts w:hint="eastAsia" w:ascii="宋体" w:hAnsi="宋体"/>
          <w:sz w:val="24"/>
        </w:rPr>
        <w:t>12．不同响应人的响应文件异常一致；</w:t>
      </w:r>
    </w:p>
    <w:p w14:paraId="5FC1E072">
      <w:pPr>
        <w:snapToGrid w:val="0"/>
        <w:spacing w:line="440" w:lineRule="exact"/>
        <w:ind w:firstLine="480" w:firstLineChars="200"/>
        <w:rPr>
          <w:rFonts w:hint="eastAsia" w:ascii="宋体" w:hAnsi="宋体"/>
          <w:sz w:val="24"/>
        </w:rPr>
      </w:pPr>
      <w:r>
        <w:rPr>
          <w:rFonts w:hint="eastAsia" w:ascii="宋体" w:hAnsi="宋体"/>
          <w:sz w:val="24"/>
        </w:rPr>
        <w:t>13．不同响应人的响应文件相互混装；</w:t>
      </w:r>
    </w:p>
    <w:p w14:paraId="2BCC5699">
      <w:pPr>
        <w:spacing w:line="440" w:lineRule="exact"/>
        <w:ind w:firstLine="720" w:firstLineChars="200"/>
        <w:jc w:val="center"/>
        <w:rPr>
          <w:rFonts w:hint="eastAsia" w:ascii="宋体" w:hAnsi="宋体"/>
          <w:sz w:val="36"/>
          <w:szCs w:val="36"/>
        </w:rPr>
      </w:pPr>
    </w:p>
    <w:p w14:paraId="5922F59C">
      <w:pPr>
        <w:spacing w:line="440" w:lineRule="exact"/>
        <w:ind w:firstLine="720" w:firstLineChars="200"/>
        <w:jc w:val="center"/>
        <w:rPr>
          <w:rFonts w:hint="eastAsia" w:ascii="宋体" w:hAnsi="宋体"/>
          <w:sz w:val="36"/>
          <w:szCs w:val="36"/>
        </w:rPr>
      </w:pPr>
    </w:p>
    <w:p w14:paraId="2D354D32">
      <w:pPr>
        <w:spacing w:line="440" w:lineRule="exact"/>
        <w:ind w:firstLine="720" w:firstLineChars="200"/>
        <w:jc w:val="center"/>
        <w:rPr>
          <w:rFonts w:hint="eastAsia" w:ascii="宋体" w:hAnsi="宋体"/>
          <w:sz w:val="36"/>
          <w:szCs w:val="36"/>
        </w:rPr>
      </w:pPr>
      <w:r>
        <w:rPr>
          <w:rFonts w:hint="eastAsia" w:ascii="宋体" w:hAnsi="宋体"/>
          <w:sz w:val="36"/>
          <w:szCs w:val="36"/>
        </w:rPr>
        <w:t>六、评审程序</w:t>
      </w:r>
    </w:p>
    <w:p w14:paraId="70DF43BD">
      <w:pPr>
        <w:spacing w:line="440" w:lineRule="exact"/>
        <w:ind w:firstLine="482" w:firstLineChars="200"/>
        <w:rPr>
          <w:rFonts w:hint="eastAsia" w:ascii="宋体" w:hAnsi="宋体"/>
          <w:b/>
          <w:bCs/>
          <w:sz w:val="24"/>
        </w:rPr>
      </w:pPr>
      <w:r>
        <w:rPr>
          <w:rFonts w:hint="eastAsia" w:ascii="宋体" w:hAnsi="宋体"/>
          <w:b/>
          <w:bCs/>
          <w:sz w:val="24"/>
        </w:rPr>
        <w:t>（二十）开标流程</w:t>
      </w:r>
    </w:p>
    <w:p w14:paraId="40369BED">
      <w:pPr>
        <w:spacing w:line="500" w:lineRule="exact"/>
        <w:ind w:firstLine="480" w:firstLineChars="200"/>
        <w:rPr>
          <w:rFonts w:hint="eastAsia" w:ascii="宋体" w:hAnsi="宋体"/>
          <w:sz w:val="24"/>
        </w:rPr>
      </w:pPr>
      <w:r>
        <w:rPr>
          <w:rFonts w:hint="eastAsia" w:ascii="宋体" w:hAnsi="宋体"/>
          <w:sz w:val="24"/>
        </w:rPr>
        <w:t>1.招标单位项目经办人按招标文件规定的时间、地点组织公开开标。</w:t>
      </w:r>
    </w:p>
    <w:p w14:paraId="0A08AD17">
      <w:pPr>
        <w:spacing w:line="500" w:lineRule="exact"/>
        <w:ind w:left="480"/>
        <w:rPr>
          <w:rFonts w:hint="eastAsia" w:ascii="宋体" w:hAnsi="宋体"/>
          <w:sz w:val="24"/>
        </w:rPr>
      </w:pPr>
      <w:r>
        <w:rPr>
          <w:rFonts w:hint="eastAsia" w:ascii="宋体" w:hAnsi="宋体"/>
          <w:sz w:val="24"/>
        </w:rPr>
        <w:t>2.公布响应单位名单；</w:t>
      </w:r>
    </w:p>
    <w:p w14:paraId="09E5049B">
      <w:pPr>
        <w:spacing w:line="500" w:lineRule="exact"/>
        <w:ind w:firstLine="480" w:firstLineChars="200"/>
        <w:rPr>
          <w:rFonts w:hint="eastAsia" w:ascii="宋体" w:hAnsi="宋体"/>
          <w:sz w:val="24"/>
        </w:rPr>
      </w:pPr>
      <w:r>
        <w:rPr>
          <w:rFonts w:hint="eastAsia" w:ascii="宋体" w:hAnsi="宋体"/>
          <w:sz w:val="24"/>
        </w:rPr>
        <w:t>3.唱标（宣读响应人名称及响应报价）；</w:t>
      </w:r>
    </w:p>
    <w:p w14:paraId="31EE5918">
      <w:pPr>
        <w:spacing w:line="500" w:lineRule="exact"/>
        <w:ind w:firstLine="480" w:firstLineChars="200"/>
        <w:rPr>
          <w:rFonts w:hint="eastAsia" w:ascii="宋体" w:hAnsi="宋体"/>
          <w:sz w:val="24"/>
        </w:rPr>
      </w:pPr>
      <w:r>
        <w:rPr>
          <w:rFonts w:hint="eastAsia" w:ascii="宋体" w:hAnsi="宋体"/>
          <w:sz w:val="24"/>
        </w:rPr>
        <w:t>4.评委评标</w:t>
      </w:r>
    </w:p>
    <w:p w14:paraId="1FDCBCB2">
      <w:pPr>
        <w:spacing w:line="500" w:lineRule="exact"/>
        <w:ind w:firstLine="480" w:firstLineChars="200"/>
        <w:rPr>
          <w:rFonts w:hint="eastAsia" w:ascii="宋体" w:hAnsi="宋体"/>
          <w:sz w:val="24"/>
        </w:rPr>
      </w:pPr>
      <w:r>
        <w:rPr>
          <w:rFonts w:hint="eastAsia" w:ascii="宋体" w:hAnsi="宋体"/>
          <w:sz w:val="24"/>
        </w:rPr>
        <w:t>5.响应单位现场确认唱标结果并签字（未到现场的视同认可唱标结果）；</w:t>
      </w:r>
    </w:p>
    <w:p w14:paraId="723FBD5F">
      <w:pPr>
        <w:spacing w:line="500" w:lineRule="exact"/>
        <w:ind w:firstLine="480" w:firstLineChars="200"/>
        <w:rPr>
          <w:rFonts w:hint="eastAsia" w:ascii="宋体" w:hAnsi="宋体"/>
          <w:sz w:val="24"/>
        </w:rPr>
      </w:pPr>
      <w:r>
        <w:rPr>
          <w:rFonts w:hint="eastAsia" w:ascii="宋体" w:hAnsi="宋体"/>
          <w:sz w:val="24"/>
        </w:rPr>
        <w:t>6.开标结束。</w:t>
      </w:r>
    </w:p>
    <w:p w14:paraId="1250D502">
      <w:pPr>
        <w:spacing w:line="500" w:lineRule="exact"/>
        <w:ind w:firstLine="482" w:firstLineChars="200"/>
        <w:rPr>
          <w:rFonts w:hint="eastAsia" w:ascii="宋体" w:hAnsi="宋体"/>
          <w:b/>
          <w:sz w:val="24"/>
        </w:rPr>
      </w:pPr>
      <w:r>
        <w:rPr>
          <w:rFonts w:hint="eastAsia" w:ascii="宋体" w:hAnsi="宋体"/>
          <w:b/>
          <w:sz w:val="24"/>
        </w:rPr>
        <w:t>（二十一）资格审查</w:t>
      </w:r>
    </w:p>
    <w:p w14:paraId="42086BFE">
      <w:pPr>
        <w:spacing w:line="500" w:lineRule="exact"/>
        <w:ind w:firstLine="480" w:firstLineChars="200"/>
        <w:rPr>
          <w:rFonts w:hint="eastAsia" w:ascii="宋体" w:hAnsi="宋体"/>
          <w:sz w:val="24"/>
        </w:rPr>
      </w:pPr>
      <w:bookmarkStart w:id="14" w:name="EBa9c0a2c9e523494487594c65b2a92370"/>
      <w:r>
        <w:rPr>
          <w:rFonts w:hint="eastAsia" w:ascii="宋体" w:hAnsi="宋体"/>
          <w:sz w:val="24"/>
        </w:rPr>
        <w:t>开标结束后，采购人依法根据招标文件的规定对响应人的资格证明文件等进行审查，未通过资格审查的为无效标。</w:t>
      </w:r>
      <w:bookmarkEnd w:id="14"/>
    </w:p>
    <w:p w14:paraId="5823C6F0">
      <w:pPr>
        <w:spacing w:line="500" w:lineRule="exact"/>
        <w:ind w:firstLine="482" w:firstLineChars="200"/>
        <w:rPr>
          <w:rFonts w:hint="eastAsia" w:ascii="宋体" w:hAnsi="宋体"/>
          <w:b/>
          <w:sz w:val="24"/>
        </w:rPr>
      </w:pPr>
      <w:r>
        <w:rPr>
          <w:rFonts w:hint="eastAsia" w:ascii="宋体" w:hAnsi="宋体"/>
          <w:b/>
          <w:sz w:val="24"/>
        </w:rPr>
        <w:t>（二十二）评审委员会</w:t>
      </w:r>
    </w:p>
    <w:p w14:paraId="6F93D2F4">
      <w:pPr>
        <w:spacing w:line="500" w:lineRule="exact"/>
        <w:ind w:firstLine="480" w:firstLineChars="200"/>
        <w:rPr>
          <w:rFonts w:hint="eastAsia" w:ascii="宋体" w:hAnsi="宋体"/>
          <w:sz w:val="24"/>
        </w:rPr>
      </w:pPr>
      <w:r>
        <w:rPr>
          <w:rFonts w:hint="eastAsia" w:ascii="宋体" w:hAnsi="宋体"/>
          <w:sz w:val="24"/>
        </w:rPr>
        <w:t>采购人应根据本项目的特点依法组建评审委员会。评标委员会负责具体评审事务，对资格审查合格的响应人进行评审，并独立履行相关职责。</w:t>
      </w:r>
    </w:p>
    <w:p w14:paraId="1510DED1">
      <w:pPr>
        <w:spacing w:line="500" w:lineRule="exact"/>
        <w:ind w:firstLine="482" w:firstLineChars="200"/>
        <w:rPr>
          <w:rFonts w:hint="eastAsia" w:ascii="宋体" w:hAnsi="宋体"/>
          <w:b/>
          <w:sz w:val="24"/>
        </w:rPr>
      </w:pPr>
      <w:r>
        <w:rPr>
          <w:rFonts w:hint="eastAsia" w:ascii="宋体" w:hAnsi="宋体"/>
          <w:b/>
          <w:sz w:val="24"/>
        </w:rPr>
        <w:t>（二十三）评审原则</w:t>
      </w:r>
    </w:p>
    <w:p w14:paraId="4340BB49">
      <w:pPr>
        <w:spacing w:line="500" w:lineRule="exact"/>
        <w:ind w:firstLine="480" w:firstLineChars="200"/>
        <w:rPr>
          <w:rFonts w:hint="eastAsia" w:ascii="宋体" w:hAnsi="宋体"/>
          <w:sz w:val="24"/>
        </w:rPr>
      </w:pPr>
      <w:r>
        <w:rPr>
          <w:rFonts w:hint="eastAsia" w:ascii="宋体" w:hAnsi="宋体"/>
          <w:sz w:val="24"/>
        </w:rPr>
        <w:t>“公平、公正、客观、择优”为评审的基本原则，评审委员会将根据这一原则，公正、平等地对待各响应人。</w:t>
      </w:r>
    </w:p>
    <w:p w14:paraId="255DC4AD">
      <w:pPr>
        <w:spacing w:line="500" w:lineRule="exact"/>
        <w:ind w:firstLine="482" w:firstLineChars="200"/>
        <w:rPr>
          <w:rFonts w:hint="eastAsia" w:ascii="宋体" w:hAnsi="宋体"/>
          <w:b/>
          <w:sz w:val="24"/>
        </w:rPr>
      </w:pPr>
      <w:r>
        <w:rPr>
          <w:rFonts w:hint="eastAsia" w:ascii="宋体" w:hAnsi="宋体"/>
          <w:b/>
          <w:sz w:val="24"/>
        </w:rPr>
        <w:t>（二十四）评标程序</w:t>
      </w:r>
    </w:p>
    <w:p w14:paraId="194EDC91">
      <w:pPr>
        <w:spacing w:line="500" w:lineRule="exact"/>
        <w:ind w:firstLine="480" w:firstLineChars="200"/>
        <w:rPr>
          <w:rFonts w:hint="eastAsia" w:ascii="宋体" w:hAnsi="宋体"/>
          <w:sz w:val="24"/>
        </w:rPr>
      </w:pPr>
      <w:r>
        <w:rPr>
          <w:rFonts w:hint="eastAsia" w:ascii="宋体" w:hAnsi="宋体"/>
          <w:sz w:val="24"/>
        </w:rPr>
        <w:t>1、符合性检查：审查、评价响应文件是否符合招标文件的商务、技术等实质性要求。评审委员会依据招标文件的规定，从响应文件的有效性、完整性和对招标文件的响应程度进行审查，以确定是否对招标文件的要求作出了实质性的响应。存在重大偏离的响应文件为无效标。</w:t>
      </w:r>
      <w:bookmarkStart w:id="15" w:name="EB1499356fad43416eb16398733accabf7"/>
      <w:r>
        <w:rPr>
          <w:rFonts w:hint="eastAsia" w:ascii="宋体" w:hAnsi="宋体"/>
          <w:sz w:val="24"/>
        </w:rPr>
        <w:t>所谓重大偏离是指响应文件中所述质量、技术、服务等明显不能满足招标文件要求。</w:t>
      </w:r>
      <w:bookmarkEnd w:id="15"/>
      <w:r>
        <w:rPr>
          <w:rFonts w:hint="eastAsia" w:ascii="宋体" w:hAnsi="宋体"/>
          <w:sz w:val="24"/>
        </w:rPr>
        <w:t>重大偏离的认定须经评审委员会三分之二以上同意。</w:t>
      </w:r>
    </w:p>
    <w:p w14:paraId="0170779A">
      <w:pPr>
        <w:spacing w:line="500" w:lineRule="exact"/>
        <w:ind w:firstLine="480" w:firstLineChars="200"/>
        <w:rPr>
          <w:rFonts w:hint="eastAsia" w:ascii="宋体" w:hAnsi="宋体"/>
          <w:sz w:val="24"/>
        </w:rPr>
      </w:pPr>
      <w:r>
        <w:rPr>
          <w:rFonts w:hint="eastAsia" w:ascii="宋体" w:hAnsi="宋体"/>
          <w:sz w:val="24"/>
        </w:rPr>
        <w:t>2、澄清有关问题。</w:t>
      </w:r>
    </w:p>
    <w:p w14:paraId="52A90904">
      <w:pPr>
        <w:spacing w:line="500" w:lineRule="exact"/>
        <w:ind w:firstLine="480" w:firstLineChars="200"/>
        <w:rPr>
          <w:rFonts w:hint="eastAsia" w:ascii="宋体" w:hAnsi="宋体"/>
          <w:sz w:val="24"/>
        </w:rPr>
      </w:pPr>
      <w:r>
        <w:rPr>
          <w:rFonts w:hint="eastAsia" w:ascii="宋体" w:hAnsi="宋体"/>
          <w:sz w:val="24"/>
        </w:rPr>
        <w:t>2.1对响应文件中含义不明确、同类问题表述不一致或者有明显文字和计算错误的内容，评审委员会可以书面形式（应当由评审委员会专家签字）要求响应人作出必要的澄清、说明或者纠正。响应人的澄清、说明或者补正应当采用书面形式向评审委员会进行澄清回复。响应人的澄清、说明或者补正不得超出响应文件的范围或者改变响应文件的实质性内容。响应人的书面澄清、说明应加盖公章，或者由法定代表人或其授权的代表签字。</w:t>
      </w:r>
    </w:p>
    <w:p w14:paraId="39CBAF87">
      <w:pPr>
        <w:spacing w:line="500" w:lineRule="exact"/>
        <w:ind w:firstLine="480" w:firstLineChars="200"/>
        <w:rPr>
          <w:rFonts w:hint="eastAsia" w:ascii="宋体" w:hAnsi="宋体"/>
          <w:sz w:val="24"/>
        </w:rPr>
      </w:pPr>
      <w:r>
        <w:rPr>
          <w:rFonts w:hint="eastAsia" w:ascii="宋体" w:hAnsi="宋体"/>
          <w:sz w:val="24"/>
        </w:rPr>
        <w:t>2.2响应文件报价出现前后不一致的，按照下列规定修正：</w:t>
      </w:r>
    </w:p>
    <w:p w14:paraId="5619A183">
      <w:pPr>
        <w:spacing w:line="500" w:lineRule="exact"/>
        <w:ind w:firstLine="480" w:firstLineChars="200"/>
        <w:rPr>
          <w:rFonts w:hint="eastAsia" w:ascii="宋体" w:hAnsi="宋体"/>
          <w:sz w:val="24"/>
        </w:rPr>
      </w:pPr>
      <w:r>
        <w:rPr>
          <w:rFonts w:hint="eastAsia" w:ascii="宋体" w:hAnsi="宋体"/>
          <w:sz w:val="24"/>
        </w:rPr>
        <w:t>①响应文件中开标一览表（报价表）内容与响应文件中相应内容不一致的，以开标一览表（报价表）为准；</w:t>
      </w:r>
    </w:p>
    <w:p w14:paraId="305605C4">
      <w:pPr>
        <w:spacing w:line="500" w:lineRule="exact"/>
        <w:ind w:firstLine="480" w:firstLineChars="200"/>
        <w:rPr>
          <w:rFonts w:hint="eastAsia" w:ascii="宋体" w:hAnsi="宋体"/>
          <w:sz w:val="24"/>
        </w:rPr>
      </w:pPr>
      <w:r>
        <w:rPr>
          <w:rFonts w:hint="eastAsia" w:ascii="宋体" w:hAnsi="宋体"/>
          <w:sz w:val="24"/>
        </w:rPr>
        <w:t>②大写金额和小写金额不一致的，以大写金额为准；</w:t>
      </w:r>
    </w:p>
    <w:p w14:paraId="6F280E9C">
      <w:pPr>
        <w:spacing w:line="500" w:lineRule="exact"/>
        <w:ind w:firstLine="480" w:firstLineChars="200"/>
        <w:rPr>
          <w:rFonts w:hint="eastAsia" w:ascii="宋体" w:hAnsi="宋体"/>
          <w:sz w:val="24"/>
        </w:rPr>
      </w:pPr>
      <w:r>
        <w:rPr>
          <w:rFonts w:hint="eastAsia" w:ascii="宋体" w:hAnsi="宋体"/>
          <w:sz w:val="24"/>
        </w:rPr>
        <w:t>③单价金额小数点或者百分比有明显错位的，以开标一览表的总价为准，并修改单价；</w:t>
      </w:r>
    </w:p>
    <w:p w14:paraId="6EC571C7">
      <w:pPr>
        <w:spacing w:line="500" w:lineRule="exact"/>
        <w:ind w:firstLine="480" w:firstLineChars="200"/>
        <w:rPr>
          <w:rFonts w:hint="eastAsia" w:ascii="宋体" w:hAnsi="宋体"/>
          <w:sz w:val="24"/>
        </w:rPr>
      </w:pPr>
      <w:r>
        <w:rPr>
          <w:rFonts w:hint="eastAsia" w:ascii="宋体" w:hAnsi="宋体"/>
          <w:sz w:val="24"/>
        </w:rPr>
        <w:t>④总价金额与按单价汇总金额不一致的，以单价金额计算结果为准。</w:t>
      </w:r>
    </w:p>
    <w:p w14:paraId="27AAC9EB">
      <w:pPr>
        <w:spacing w:line="500" w:lineRule="exact"/>
        <w:ind w:firstLine="480" w:firstLineChars="200"/>
        <w:rPr>
          <w:rFonts w:hint="eastAsia" w:ascii="宋体" w:hAnsi="宋体"/>
          <w:sz w:val="24"/>
        </w:rPr>
      </w:pPr>
      <w:r>
        <w:rPr>
          <w:rFonts w:hint="eastAsia" w:ascii="宋体" w:hAnsi="宋体"/>
          <w:sz w:val="24"/>
        </w:rPr>
        <w:t>同时出现两种以上不一致的，按照前款规定的顺序修正。修正后的报价，经响应人确认后产生约束力，响应人不确认的，其响应无效。</w:t>
      </w:r>
    </w:p>
    <w:p w14:paraId="5E110221">
      <w:pPr>
        <w:spacing w:line="500" w:lineRule="exact"/>
        <w:ind w:firstLine="480" w:firstLineChars="200"/>
        <w:rPr>
          <w:rFonts w:hint="eastAsia" w:ascii="宋体" w:hAnsi="宋体"/>
          <w:sz w:val="24"/>
        </w:rPr>
      </w:pPr>
      <w:r>
        <w:rPr>
          <w:rFonts w:hint="eastAsia" w:ascii="宋体" w:hAnsi="宋体"/>
          <w:sz w:val="24"/>
        </w:rPr>
        <w:t>3、评审委员会认为响应人的报价明显低于其他通过符合性审查响应人的报价，有可能影响产品质量或者不能诚信履约的，应当要求其在评审现场合理的时间内提供书面说明，必要时提交相关证明材料；响应人不能证明其报价合理性的，评审委员会应当将其作为无效响应处理。</w:t>
      </w:r>
    </w:p>
    <w:p w14:paraId="4D8B89F3">
      <w:pPr>
        <w:spacing w:line="500" w:lineRule="exact"/>
        <w:ind w:firstLine="480" w:firstLineChars="200"/>
        <w:rPr>
          <w:rFonts w:hint="eastAsia" w:ascii="宋体" w:hAnsi="宋体"/>
          <w:sz w:val="24"/>
        </w:rPr>
      </w:pPr>
      <w:r>
        <w:rPr>
          <w:rFonts w:hint="eastAsia" w:ascii="宋体" w:hAnsi="宋体"/>
          <w:sz w:val="24"/>
        </w:rPr>
        <w:t>4、比较。评审委员会将按招标文件中规定的评审方法和标准，对符合性检查合格的响应文件进行商务和技术评比。</w:t>
      </w:r>
    </w:p>
    <w:p w14:paraId="7D380092">
      <w:pPr>
        <w:spacing w:line="500" w:lineRule="exact"/>
        <w:ind w:firstLine="480" w:firstLineChars="200"/>
        <w:rPr>
          <w:rFonts w:hint="eastAsia" w:ascii="宋体" w:hAnsi="宋体"/>
          <w:sz w:val="24"/>
        </w:rPr>
      </w:pPr>
      <w:r>
        <w:rPr>
          <w:rFonts w:hint="eastAsia" w:ascii="宋体" w:hAnsi="宋体"/>
          <w:sz w:val="24"/>
        </w:rPr>
        <w:t>5、推荐中标候选人。评审委员会按照招标文件中规定的评审方法和标准推荐中标候选人。</w:t>
      </w:r>
    </w:p>
    <w:p w14:paraId="0DC9CDA1">
      <w:pPr>
        <w:spacing w:line="500" w:lineRule="exact"/>
        <w:ind w:firstLine="480" w:firstLineChars="200"/>
        <w:rPr>
          <w:rFonts w:hint="eastAsia" w:ascii="宋体" w:hAnsi="宋体"/>
          <w:sz w:val="24"/>
        </w:rPr>
        <w:sectPr>
          <w:pgSz w:w="11906" w:h="16838"/>
          <w:pgMar w:top="1418" w:right="1474" w:bottom="1021" w:left="1588" w:header="851" w:footer="567" w:gutter="0"/>
          <w:pgNumType w:start="1"/>
          <w:cols w:space="720" w:num="1"/>
          <w:titlePg/>
          <w:docGrid w:type="lines" w:linePitch="312" w:charSpace="0"/>
        </w:sectPr>
      </w:pPr>
    </w:p>
    <w:p w14:paraId="4D95B3E4">
      <w:pPr>
        <w:pStyle w:val="62"/>
        <w:ind w:firstLine="0" w:firstLineChars="0"/>
      </w:pPr>
    </w:p>
    <w:p w14:paraId="03232213">
      <w:pPr>
        <w:spacing w:line="440" w:lineRule="exact"/>
        <w:ind w:firstLine="720" w:firstLineChars="200"/>
        <w:jc w:val="center"/>
        <w:rPr>
          <w:rFonts w:hint="eastAsia" w:ascii="宋体" w:hAnsi="宋体"/>
          <w:sz w:val="36"/>
          <w:szCs w:val="36"/>
        </w:rPr>
      </w:pPr>
      <w:r>
        <w:rPr>
          <w:rFonts w:hint="eastAsia" w:ascii="宋体" w:hAnsi="宋体"/>
          <w:sz w:val="36"/>
          <w:szCs w:val="36"/>
        </w:rPr>
        <w:t>七、中标及合同签订</w:t>
      </w:r>
    </w:p>
    <w:p w14:paraId="75DEEA1F">
      <w:pPr>
        <w:spacing w:line="440" w:lineRule="exact"/>
        <w:ind w:firstLine="482" w:firstLineChars="200"/>
        <w:rPr>
          <w:rFonts w:hint="eastAsia" w:ascii="宋体" w:hAnsi="宋体"/>
          <w:sz w:val="24"/>
        </w:rPr>
      </w:pPr>
      <w:r>
        <w:rPr>
          <w:rFonts w:hint="eastAsia" w:ascii="宋体" w:hAnsi="宋体"/>
          <w:b/>
          <w:bCs/>
          <w:sz w:val="24"/>
        </w:rPr>
        <w:t>（二十五）标后审查</w:t>
      </w:r>
    </w:p>
    <w:p w14:paraId="03C8A273">
      <w:pPr>
        <w:spacing w:line="440" w:lineRule="exact"/>
        <w:ind w:firstLine="480" w:firstLineChars="200"/>
        <w:rPr>
          <w:rFonts w:hint="eastAsia" w:ascii="宋体" w:hAnsi="宋体"/>
          <w:sz w:val="24"/>
        </w:rPr>
      </w:pPr>
      <w:r>
        <w:rPr>
          <w:rFonts w:hint="eastAsia" w:ascii="宋体" w:hAnsi="宋体"/>
          <w:sz w:val="24"/>
        </w:rPr>
        <w:t>1．招标人将在签订合同前对中标候选人是否能圆满地履行合同进行审查。审查包括中标候选人响应文件中提供的所有资格证明材料原件，中标候选人响应文件及补充承诺中涉及的其他相关资料原件，以及对本项目实施可能存在风险的其他因素。</w:t>
      </w:r>
    </w:p>
    <w:p w14:paraId="430CD1A5">
      <w:pPr>
        <w:spacing w:line="440" w:lineRule="exact"/>
        <w:ind w:firstLine="480" w:firstLineChars="200"/>
        <w:rPr>
          <w:rFonts w:hint="eastAsia" w:ascii="宋体" w:hAnsi="宋体"/>
          <w:sz w:val="24"/>
        </w:rPr>
      </w:pPr>
      <w:r>
        <w:rPr>
          <w:rFonts w:hint="eastAsia" w:ascii="宋体" w:hAnsi="宋体"/>
          <w:sz w:val="24"/>
        </w:rPr>
        <w:t>2．招标人人若发现中标候选人在响应过程中提供虚假证明文件，故意隐瞒公司不良信誉和财务状况，以及存在可能对合同圆满履行造成风险的其他因素等，则按规定取消其中标资格，监管部门依法进行处罚。</w:t>
      </w:r>
    </w:p>
    <w:p w14:paraId="5DD385CD">
      <w:pPr>
        <w:spacing w:line="440" w:lineRule="exact"/>
        <w:ind w:firstLine="482" w:firstLineChars="200"/>
        <w:rPr>
          <w:rFonts w:hint="eastAsia" w:ascii="宋体" w:hAnsi="宋体"/>
          <w:b/>
          <w:sz w:val="24"/>
          <w:highlight w:val="white"/>
        </w:rPr>
      </w:pPr>
      <w:r>
        <w:rPr>
          <w:rFonts w:hint="eastAsia" w:ascii="宋体" w:hAnsi="宋体"/>
          <w:b/>
          <w:sz w:val="24"/>
          <w:highlight w:val="white"/>
        </w:rPr>
        <w:t>（二十六）中标通知</w:t>
      </w:r>
    </w:p>
    <w:p w14:paraId="16C0E1AB">
      <w:pPr>
        <w:spacing w:line="440" w:lineRule="exact"/>
        <w:ind w:firstLine="480" w:firstLineChars="200"/>
        <w:rPr>
          <w:rFonts w:hint="eastAsia" w:ascii="宋体" w:hAnsi="宋体"/>
          <w:sz w:val="24"/>
        </w:rPr>
      </w:pPr>
      <w:r>
        <w:rPr>
          <w:rFonts w:hint="eastAsia" w:ascii="宋体" w:hAnsi="宋体"/>
          <w:sz w:val="24"/>
        </w:rPr>
        <w:t>中标结果在医院网站上发布公告。</w:t>
      </w:r>
    </w:p>
    <w:p w14:paraId="009E0895">
      <w:pPr>
        <w:spacing w:line="440" w:lineRule="exact"/>
        <w:ind w:firstLine="482" w:firstLineChars="200"/>
        <w:rPr>
          <w:rFonts w:hint="eastAsia" w:ascii="宋体" w:hAnsi="宋体"/>
          <w:sz w:val="24"/>
        </w:rPr>
      </w:pPr>
      <w:r>
        <w:rPr>
          <w:rFonts w:hint="eastAsia" w:ascii="宋体" w:hAnsi="宋体"/>
          <w:b/>
          <w:bCs/>
          <w:sz w:val="24"/>
        </w:rPr>
        <w:t>（二十七）签订合同</w:t>
      </w:r>
    </w:p>
    <w:p w14:paraId="49BBFD17">
      <w:pPr>
        <w:spacing w:line="440" w:lineRule="exact"/>
        <w:ind w:firstLine="480" w:firstLineChars="200"/>
        <w:rPr>
          <w:rFonts w:hint="eastAsia" w:ascii="宋体" w:hAnsi="宋体"/>
          <w:sz w:val="24"/>
        </w:rPr>
      </w:pPr>
      <w:r>
        <w:rPr>
          <w:rFonts w:hint="eastAsia" w:ascii="宋体" w:hAnsi="宋体"/>
          <w:sz w:val="24"/>
        </w:rPr>
        <w:t>1．中标人应在规定的时间、地点与招标人签订合同，招标文件、中标人的响应文件及服务承诺文件以及磋谈过程中有关澄清文件均作为合同附件。</w:t>
      </w:r>
    </w:p>
    <w:p w14:paraId="4BE947B4">
      <w:pPr>
        <w:spacing w:line="440" w:lineRule="exact"/>
        <w:ind w:firstLine="480" w:firstLineChars="200"/>
        <w:rPr>
          <w:rFonts w:hint="eastAsia" w:ascii="宋体" w:hAnsi="宋体"/>
          <w:b/>
          <w:sz w:val="24"/>
        </w:rPr>
      </w:pPr>
      <w:r>
        <w:rPr>
          <w:rFonts w:hint="eastAsia" w:ascii="宋体" w:hAnsi="宋体"/>
          <w:sz w:val="24"/>
        </w:rPr>
        <w:t>2．中标人无正当理由未在规定时间内与招标人签订合同的，招标人有权建议取消其中标资格，监管部门将对其依法处理。拒绝签订合同的中标人不得参加对该项目重新开展的采招标活动。</w:t>
      </w:r>
    </w:p>
    <w:p w14:paraId="4F709C5B">
      <w:pPr>
        <w:spacing w:line="440" w:lineRule="exact"/>
        <w:ind w:firstLine="720" w:firstLineChars="200"/>
        <w:jc w:val="center"/>
        <w:rPr>
          <w:rFonts w:hint="eastAsia" w:ascii="宋体" w:hAnsi="宋体"/>
          <w:sz w:val="36"/>
          <w:szCs w:val="36"/>
        </w:rPr>
      </w:pPr>
      <w:r>
        <w:rPr>
          <w:rFonts w:hint="eastAsia" w:ascii="宋体" w:hAnsi="宋体"/>
          <w:sz w:val="36"/>
          <w:szCs w:val="36"/>
        </w:rPr>
        <w:t>八、考核及付款</w:t>
      </w:r>
    </w:p>
    <w:p w14:paraId="2E2B3257">
      <w:pPr>
        <w:spacing w:line="440" w:lineRule="exact"/>
        <w:ind w:firstLine="482" w:firstLineChars="200"/>
        <w:jc w:val="left"/>
        <w:rPr>
          <w:rFonts w:hint="eastAsia" w:ascii="宋体" w:hAnsi="宋体"/>
          <w:b/>
          <w:bCs/>
          <w:sz w:val="24"/>
        </w:rPr>
      </w:pPr>
      <w:r>
        <w:rPr>
          <w:rFonts w:hint="eastAsia" w:ascii="宋体" w:hAnsi="宋体"/>
          <w:b/>
          <w:bCs/>
          <w:sz w:val="24"/>
        </w:rPr>
        <w:t>（二十八）考核</w:t>
      </w:r>
    </w:p>
    <w:p w14:paraId="4A3700EE">
      <w:pPr>
        <w:spacing w:line="440" w:lineRule="exact"/>
        <w:rPr>
          <w:rFonts w:hint="eastAsia" w:ascii="宋体" w:hAnsi="宋体"/>
          <w:sz w:val="24"/>
        </w:rPr>
      </w:pPr>
      <w:r>
        <w:rPr>
          <w:rFonts w:hint="eastAsia" w:ascii="宋体" w:hAnsi="宋体"/>
          <w:sz w:val="24"/>
        </w:rPr>
        <w:t>招标人组建考核小组，考核小组按照招标文件及后续合同约定实施考核。</w:t>
      </w:r>
    </w:p>
    <w:p w14:paraId="3B2B95AF">
      <w:pPr>
        <w:widowControl/>
        <w:spacing w:line="440" w:lineRule="exact"/>
        <w:ind w:firstLine="482" w:firstLineChars="200"/>
        <w:jc w:val="left"/>
        <w:rPr>
          <w:rFonts w:hint="eastAsia" w:ascii="宋体" w:hAnsi="宋体"/>
          <w:b/>
          <w:bCs/>
          <w:sz w:val="24"/>
        </w:rPr>
      </w:pPr>
      <w:r>
        <w:rPr>
          <w:rFonts w:hint="eastAsia" w:ascii="宋体" w:hAnsi="宋体"/>
          <w:b/>
          <w:bCs/>
          <w:sz w:val="24"/>
        </w:rPr>
        <w:t>（二十九）付款</w:t>
      </w:r>
    </w:p>
    <w:p w14:paraId="121A31A5">
      <w:pPr>
        <w:widowControl/>
        <w:spacing w:line="440" w:lineRule="exact"/>
        <w:jc w:val="left"/>
        <w:rPr>
          <w:rFonts w:hint="eastAsia" w:ascii="宋体" w:hAnsi="宋体" w:cs="Arial"/>
          <w:sz w:val="24"/>
        </w:rPr>
      </w:pPr>
      <w:r>
        <w:rPr>
          <w:rFonts w:hint="eastAsia" w:ascii="宋体" w:hAnsi="宋体" w:cs="Arial"/>
          <w:sz w:val="24"/>
        </w:rPr>
        <w:t>按照招标文件和合同约定的付款方式进行付款。</w:t>
      </w:r>
    </w:p>
    <w:p w14:paraId="11EF3CF8">
      <w:pPr>
        <w:widowControl/>
        <w:spacing w:line="440" w:lineRule="exact"/>
        <w:jc w:val="left"/>
        <w:rPr>
          <w:rFonts w:hint="eastAsia" w:ascii="宋体" w:hAnsi="宋体" w:cs="Arial"/>
          <w:sz w:val="24"/>
        </w:rPr>
      </w:pPr>
    </w:p>
    <w:p w14:paraId="2202A826">
      <w:pPr>
        <w:widowControl/>
        <w:spacing w:line="440" w:lineRule="exact"/>
        <w:jc w:val="left"/>
        <w:rPr>
          <w:rFonts w:hint="eastAsia" w:ascii="宋体" w:hAnsi="宋体" w:cs="Arial"/>
          <w:sz w:val="24"/>
        </w:rPr>
      </w:pPr>
    </w:p>
    <w:p w14:paraId="5AF97A2B">
      <w:pPr>
        <w:widowControl/>
        <w:spacing w:line="440" w:lineRule="exact"/>
        <w:jc w:val="left"/>
        <w:rPr>
          <w:rFonts w:hint="eastAsia" w:ascii="宋体" w:hAnsi="宋体" w:cs="Arial"/>
          <w:sz w:val="24"/>
        </w:rPr>
      </w:pPr>
    </w:p>
    <w:p w14:paraId="2FD09E96">
      <w:pPr>
        <w:widowControl/>
        <w:spacing w:line="440" w:lineRule="exact"/>
        <w:jc w:val="left"/>
        <w:rPr>
          <w:rFonts w:hint="eastAsia" w:ascii="宋体" w:hAnsi="宋体" w:cs="Arial"/>
          <w:sz w:val="24"/>
        </w:rPr>
      </w:pPr>
    </w:p>
    <w:p w14:paraId="766230D3">
      <w:pPr>
        <w:pStyle w:val="2"/>
        <w:spacing w:before="156" w:after="156" w:line="440" w:lineRule="exact"/>
        <w:rPr>
          <w:highlight w:val="white"/>
        </w:rPr>
        <w:sectPr>
          <w:footerReference r:id="rId8" w:type="first"/>
          <w:footerReference r:id="rId7" w:type="default"/>
          <w:pgSz w:w="11906" w:h="16838"/>
          <w:pgMar w:top="1418" w:right="1474" w:bottom="1021" w:left="1588" w:header="851" w:footer="567" w:gutter="0"/>
          <w:cols w:space="720" w:num="1"/>
          <w:titlePg/>
          <w:docGrid w:type="lines" w:linePitch="312" w:charSpace="0"/>
        </w:sectPr>
      </w:pPr>
      <w:bookmarkStart w:id="16" w:name="_Toc521602502"/>
      <w:bookmarkStart w:id="17" w:name="_Toc5366"/>
    </w:p>
    <w:p w14:paraId="240A80E2">
      <w:pPr>
        <w:pStyle w:val="2"/>
        <w:spacing w:before="156" w:after="156" w:line="440" w:lineRule="exact"/>
        <w:rPr>
          <w:rFonts w:hint="eastAsia" w:ascii="宋体" w:hAnsi="宋体"/>
          <w:sz w:val="24"/>
        </w:rPr>
      </w:pPr>
      <w:r>
        <w:rPr>
          <w:rFonts w:hint="eastAsia"/>
          <w:highlight w:val="white"/>
        </w:rPr>
        <w:t xml:space="preserve">第三部分  </w:t>
      </w:r>
      <w:bookmarkEnd w:id="16"/>
      <w:r>
        <w:rPr>
          <w:rFonts w:hint="eastAsia"/>
          <w:highlight w:val="white"/>
        </w:rPr>
        <w:t>评审办法</w:t>
      </w:r>
      <w:bookmarkEnd w:id="17"/>
    </w:p>
    <w:p w14:paraId="41FF31F2">
      <w:pPr>
        <w:adjustRightInd/>
        <w:spacing w:line="440" w:lineRule="exact"/>
        <w:ind w:firstLine="354" w:firstLineChars="147"/>
        <w:textAlignment w:val="auto"/>
        <w:outlineLvl w:val="0"/>
        <w:rPr>
          <w:b/>
          <w:szCs w:val="21"/>
        </w:rPr>
      </w:pPr>
      <w:r>
        <w:rPr>
          <w:rFonts w:hint="eastAsia" w:ascii="宋体" w:hAnsi="宋体"/>
          <w:b/>
          <w:color w:val="000000"/>
          <w:sz w:val="24"/>
          <w:szCs w:val="21"/>
        </w:rPr>
        <w:t>一、评标方法</w:t>
      </w:r>
    </w:p>
    <w:p w14:paraId="762BF491">
      <w:pPr>
        <w:spacing w:line="360" w:lineRule="auto"/>
        <w:ind w:firstLine="420" w:firstLineChars="200"/>
      </w:pPr>
      <w:r>
        <w:rPr>
          <w:rFonts w:hint="eastAsia"/>
        </w:rPr>
        <w:t>本项目采用综合评分法，评委会将对确定为实质性响应文件要求的磋商响应文件进行评价和比较。评标结果按评审后得分由高到低顺序排列。得分相同的，按投标报价由低到高顺序排列。得分且投标报价相同的并列，磋商响应文件满足磋商文件全部实质性要求，且按照评审因素的量化指标评审得分最高的供应商为排名第一的成交候选人。</w:t>
      </w:r>
    </w:p>
    <w:p w14:paraId="0F524ED9">
      <w:pPr>
        <w:spacing w:line="440" w:lineRule="exact"/>
        <w:ind w:firstLine="354" w:firstLineChars="147"/>
        <w:outlineLvl w:val="0"/>
        <w:rPr>
          <w:rFonts w:ascii="宋体" w:hAnsi="宋体"/>
          <w:b/>
          <w:color w:val="000000"/>
          <w:sz w:val="24"/>
          <w:szCs w:val="22"/>
        </w:rPr>
      </w:pPr>
      <w:r>
        <w:rPr>
          <w:rFonts w:hint="eastAsia" w:ascii="宋体" w:hAnsi="宋体"/>
          <w:b/>
          <w:color w:val="000000"/>
          <w:sz w:val="24"/>
          <w:szCs w:val="22"/>
        </w:rPr>
        <w:t>二、</w:t>
      </w:r>
      <w:r>
        <w:rPr>
          <w:rFonts w:hint="eastAsia" w:ascii="宋体" w:hAnsi="宋体"/>
          <w:b/>
          <w:color w:val="000000"/>
          <w:sz w:val="24"/>
        </w:rPr>
        <w:t>评分标准</w:t>
      </w:r>
    </w:p>
    <w:p w14:paraId="63A78B29">
      <w:pPr>
        <w:pStyle w:val="155"/>
        <w:spacing w:line="360" w:lineRule="auto"/>
        <w:rPr>
          <w:rFonts w:ascii="Times New Roman" w:hAnsi="Times New Roman" w:eastAsia="宋体"/>
        </w:rPr>
      </w:pPr>
    </w:p>
    <w:tbl>
      <w:tblPr>
        <w:tblStyle w:val="31"/>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7227"/>
      </w:tblGrid>
      <w:tr w14:paraId="2438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16" w:type="dxa"/>
            <w:tcBorders>
              <w:top w:val="single" w:color="auto" w:sz="4" w:space="0"/>
              <w:left w:val="single" w:color="auto" w:sz="4" w:space="0"/>
              <w:bottom w:val="single" w:color="auto" w:sz="4" w:space="0"/>
              <w:right w:val="single" w:color="auto" w:sz="4" w:space="0"/>
            </w:tcBorders>
            <w:vAlign w:val="center"/>
          </w:tcPr>
          <w:p w14:paraId="2D9283CE">
            <w:pPr>
              <w:spacing w:line="360" w:lineRule="auto"/>
              <w:jc w:val="center"/>
              <w:rPr>
                <w:rFonts w:hint="eastAsia" w:ascii="宋体" w:hAnsi="宋体" w:cs="宋体"/>
                <w:bCs/>
                <w:szCs w:val="21"/>
              </w:rPr>
            </w:pPr>
            <w:bookmarkStart w:id="18" w:name="_Toc13543"/>
            <w:bookmarkEnd w:id="18"/>
            <w:r>
              <w:rPr>
                <w:rFonts w:hint="eastAsia" w:ascii="宋体" w:hAnsi="宋体" w:cs="宋体"/>
                <w:szCs w:val="21"/>
              </w:rPr>
              <w:t>项  目</w:t>
            </w:r>
          </w:p>
        </w:tc>
        <w:tc>
          <w:tcPr>
            <w:tcW w:w="7227" w:type="dxa"/>
            <w:tcBorders>
              <w:top w:val="single" w:color="auto" w:sz="4" w:space="0"/>
              <w:left w:val="single" w:color="auto" w:sz="4" w:space="0"/>
              <w:bottom w:val="single" w:color="auto" w:sz="4" w:space="0"/>
              <w:right w:val="single" w:color="auto" w:sz="4" w:space="0"/>
            </w:tcBorders>
            <w:vAlign w:val="center"/>
          </w:tcPr>
          <w:p w14:paraId="68D73C7E">
            <w:pPr>
              <w:spacing w:line="360" w:lineRule="auto"/>
              <w:jc w:val="center"/>
              <w:rPr>
                <w:rFonts w:hint="eastAsia" w:ascii="宋体" w:hAnsi="宋体" w:cs="宋体"/>
                <w:bCs/>
                <w:szCs w:val="21"/>
              </w:rPr>
            </w:pPr>
            <w:r>
              <w:rPr>
                <w:rFonts w:hint="eastAsia" w:ascii="宋体" w:hAnsi="宋体" w:cs="宋体"/>
                <w:szCs w:val="21"/>
              </w:rPr>
              <w:t>评  分  标  准</w:t>
            </w:r>
          </w:p>
        </w:tc>
      </w:tr>
      <w:tr w14:paraId="3986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16" w:type="dxa"/>
            <w:tcBorders>
              <w:top w:val="single" w:color="auto" w:sz="4" w:space="0"/>
              <w:left w:val="single" w:color="auto" w:sz="4" w:space="0"/>
              <w:bottom w:val="single" w:color="auto" w:sz="4" w:space="0"/>
              <w:right w:val="single" w:color="auto" w:sz="4" w:space="0"/>
            </w:tcBorders>
            <w:vAlign w:val="center"/>
          </w:tcPr>
          <w:p w14:paraId="295DF0B3">
            <w:pPr>
              <w:spacing w:line="360" w:lineRule="auto"/>
              <w:jc w:val="center"/>
              <w:rPr>
                <w:rFonts w:hint="eastAsia" w:ascii="宋体" w:hAnsi="宋体" w:cs="宋体"/>
                <w:szCs w:val="21"/>
                <w:highlight w:val="none"/>
              </w:rPr>
            </w:pPr>
            <w:r>
              <w:rPr>
                <w:rFonts w:hint="eastAsia" w:ascii="宋体" w:hAnsi="宋体" w:cs="宋体"/>
                <w:szCs w:val="21"/>
                <w:highlight w:val="none"/>
              </w:rPr>
              <w:t>价格</w:t>
            </w:r>
          </w:p>
          <w:p w14:paraId="13E7BE13">
            <w:pPr>
              <w:spacing w:line="360" w:lineRule="auto"/>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eastAsia="zh-CN"/>
              </w:rPr>
              <w:t>3</w:t>
            </w:r>
            <w:r>
              <w:rPr>
                <w:rFonts w:hint="eastAsia" w:ascii="宋体" w:hAnsi="宋体" w:cs="宋体"/>
                <w:szCs w:val="21"/>
                <w:highlight w:val="none"/>
              </w:rPr>
              <w:t>0分）</w:t>
            </w:r>
          </w:p>
        </w:tc>
        <w:tc>
          <w:tcPr>
            <w:tcW w:w="7227" w:type="dxa"/>
            <w:tcBorders>
              <w:top w:val="single" w:color="auto" w:sz="4" w:space="0"/>
              <w:left w:val="single" w:color="auto" w:sz="4" w:space="0"/>
              <w:bottom w:val="single" w:color="auto" w:sz="4" w:space="0"/>
              <w:right w:val="single" w:color="auto" w:sz="4" w:space="0"/>
            </w:tcBorders>
            <w:vAlign w:val="center"/>
          </w:tcPr>
          <w:p w14:paraId="3C739779">
            <w:pPr>
              <w:pStyle w:val="156"/>
              <w:spacing w:line="360" w:lineRule="auto"/>
              <w:ind w:firstLine="0" w:firstLineChars="0"/>
              <w:rPr>
                <w:rFonts w:hint="eastAsia" w:ascii="宋体" w:hAnsi="宋体" w:cs="宋体"/>
                <w:sz w:val="21"/>
                <w:szCs w:val="21"/>
                <w:highlight w:val="none"/>
              </w:rPr>
            </w:pPr>
            <w:r>
              <w:rPr>
                <w:rFonts w:hint="eastAsia" w:ascii="宋体" w:hAnsi="宋体" w:cs="宋体"/>
                <w:sz w:val="21"/>
                <w:szCs w:val="21"/>
                <w:highlight w:val="none"/>
              </w:rPr>
              <w:t>以满足磋商文件要求的最低报价为评审基准值，满分</w:t>
            </w:r>
            <w:r>
              <w:rPr>
                <w:rFonts w:hint="eastAsia" w:ascii="宋体" w:hAnsi="宋体" w:cs="宋体"/>
                <w:sz w:val="21"/>
                <w:szCs w:val="21"/>
                <w:highlight w:val="none"/>
                <w:lang w:eastAsia="zh-CN"/>
              </w:rPr>
              <w:t>3</w:t>
            </w:r>
            <w:r>
              <w:rPr>
                <w:rFonts w:hint="eastAsia" w:ascii="宋体" w:hAnsi="宋体" w:cs="宋体"/>
                <w:sz w:val="21"/>
                <w:szCs w:val="21"/>
                <w:highlight w:val="none"/>
              </w:rPr>
              <w:t>0分， 报价得分=（评审基准值/其他报价）×</w:t>
            </w:r>
            <w:r>
              <w:rPr>
                <w:rFonts w:hint="eastAsia" w:ascii="宋体" w:hAnsi="宋体" w:cs="宋体"/>
                <w:sz w:val="21"/>
                <w:szCs w:val="21"/>
                <w:highlight w:val="none"/>
                <w:lang w:eastAsia="zh-CN"/>
              </w:rPr>
              <w:t>3</w:t>
            </w:r>
            <w:r>
              <w:rPr>
                <w:rFonts w:hint="eastAsia" w:ascii="宋体" w:hAnsi="宋体" w:cs="宋体"/>
                <w:sz w:val="21"/>
                <w:szCs w:val="21"/>
                <w:highlight w:val="none"/>
              </w:rPr>
              <w:t>0×100%）（保留小数点后两位）</w:t>
            </w:r>
          </w:p>
        </w:tc>
      </w:tr>
      <w:tr w14:paraId="2E19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16" w:type="dxa"/>
            <w:tcBorders>
              <w:top w:val="single" w:color="auto" w:sz="4" w:space="0"/>
              <w:left w:val="single" w:color="auto" w:sz="4" w:space="0"/>
              <w:bottom w:val="single" w:color="auto" w:sz="4" w:space="0"/>
              <w:right w:val="single" w:color="auto" w:sz="4" w:space="0"/>
            </w:tcBorders>
            <w:vAlign w:val="center"/>
          </w:tcPr>
          <w:p w14:paraId="11A1B5AF">
            <w:pPr>
              <w:pStyle w:val="14"/>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改造方案</w:t>
            </w:r>
          </w:p>
          <w:p w14:paraId="03C3B65F">
            <w:pPr>
              <w:pStyle w:val="14"/>
              <w:spacing w:line="360" w:lineRule="auto"/>
              <w:ind w:firstLine="0" w:firstLineChars="0"/>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5</w:t>
            </w:r>
            <w:r>
              <w:rPr>
                <w:rFonts w:hint="eastAsia" w:ascii="宋体" w:hAnsi="宋体" w:eastAsia="宋体" w:cs="宋体"/>
                <w:sz w:val="21"/>
                <w:szCs w:val="21"/>
                <w:highlight w:val="none"/>
              </w:rPr>
              <w:t>0分）</w:t>
            </w:r>
          </w:p>
        </w:tc>
        <w:tc>
          <w:tcPr>
            <w:tcW w:w="7227" w:type="dxa"/>
            <w:tcBorders>
              <w:top w:val="single" w:color="auto" w:sz="4" w:space="0"/>
              <w:left w:val="single" w:color="auto" w:sz="4" w:space="0"/>
              <w:bottom w:val="single" w:color="auto" w:sz="4" w:space="0"/>
              <w:right w:val="single" w:color="auto" w:sz="4" w:space="0"/>
            </w:tcBorders>
            <w:vAlign w:val="center"/>
          </w:tcPr>
          <w:p w14:paraId="06380C0B">
            <w:pPr>
              <w:spacing w:line="360" w:lineRule="auto"/>
              <w:jc w:val="left"/>
              <w:rPr>
                <w:rFonts w:hint="eastAsia" w:ascii="宋体" w:hAnsi="宋体" w:cs="宋体"/>
                <w:szCs w:val="21"/>
                <w:highlight w:val="none"/>
              </w:rPr>
            </w:pPr>
            <w:r>
              <w:rPr>
                <w:rFonts w:hint="eastAsia" w:ascii="宋体" w:hAnsi="宋体" w:cs="宋体"/>
                <w:szCs w:val="21"/>
                <w:highlight w:val="none"/>
              </w:rPr>
              <w:t>评委根据各供应商提供方案的完整性、科学性和实用性等进行综合打分。</w:t>
            </w:r>
          </w:p>
          <w:p w14:paraId="2F32B7F2">
            <w:pPr>
              <w:pStyle w:val="156"/>
              <w:spacing w:line="360" w:lineRule="auto"/>
              <w:ind w:firstLine="0" w:firstLineChars="0"/>
              <w:rPr>
                <w:rFonts w:hint="eastAsia" w:ascii="宋体" w:hAnsi="宋体" w:cs="宋体"/>
                <w:bCs/>
                <w:sz w:val="21"/>
                <w:szCs w:val="21"/>
                <w:highlight w:val="none"/>
              </w:rPr>
            </w:pPr>
            <w:r>
              <w:rPr>
                <w:rFonts w:hint="eastAsia" w:ascii="宋体" w:hAnsi="宋体" w:cs="宋体"/>
                <w:bCs/>
                <w:sz w:val="21"/>
                <w:szCs w:val="21"/>
                <w:highlight w:val="none"/>
              </w:rPr>
              <w:t>1、改造方案：细致全面、合理、实用性强，得</w:t>
            </w:r>
            <w:r>
              <w:rPr>
                <w:rFonts w:hint="eastAsia" w:ascii="宋体" w:hAnsi="宋体" w:cs="宋体"/>
                <w:bCs/>
                <w:sz w:val="21"/>
                <w:szCs w:val="21"/>
                <w:highlight w:val="none"/>
                <w:lang w:eastAsia="zh-CN"/>
              </w:rPr>
              <w:t>3</w:t>
            </w:r>
            <w:r>
              <w:rPr>
                <w:rFonts w:hint="eastAsia" w:ascii="宋体" w:hAnsi="宋体" w:cs="宋体"/>
                <w:bCs/>
                <w:sz w:val="21"/>
                <w:szCs w:val="21"/>
                <w:highlight w:val="none"/>
              </w:rPr>
              <w:t>0分；较为完整、基本响应采购需求，得</w:t>
            </w:r>
            <w:r>
              <w:rPr>
                <w:rFonts w:hint="eastAsia" w:ascii="宋体" w:hAnsi="宋体" w:cs="宋体"/>
                <w:bCs/>
                <w:sz w:val="21"/>
                <w:szCs w:val="21"/>
                <w:highlight w:val="none"/>
                <w:lang w:eastAsia="zh-CN"/>
              </w:rPr>
              <w:t>2</w:t>
            </w:r>
            <w:r>
              <w:rPr>
                <w:rFonts w:hint="eastAsia" w:ascii="宋体" w:hAnsi="宋体" w:cs="宋体"/>
                <w:bCs/>
                <w:sz w:val="21"/>
                <w:szCs w:val="21"/>
                <w:highlight w:val="none"/>
                <w:lang w:val="en-US" w:eastAsia="zh-CN"/>
              </w:rPr>
              <w:t>0</w:t>
            </w:r>
            <w:r>
              <w:rPr>
                <w:rFonts w:hint="eastAsia" w:ascii="宋体" w:hAnsi="宋体" w:cs="宋体"/>
                <w:bCs/>
                <w:sz w:val="21"/>
                <w:szCs w:val="21"/>
                <w:highlight w:val="none"/>
              </w:rPr>
              <w:t>分；内容欠缺、响应度低、实用性较差，得</w:t>
            </w:r>
            <w:r>
              <w:rPr>
                <w:rFonts w:hint="eastAsia" w:ascii="宋体" w:hAnsi="宋体" w:cs="宋体"/>
                <w:bCs/>
                <w:sz w:val="21"/>
                <w:szCs w:val="21"/>
                <w:highlight w:val="none"/>
                <w:lang w:eastAsia="zh-CN"/>
              </w:rPr>
              <w:t>1</w:t>
            </w:r>
            <w:r>
              <w:rPr>
                <w:rFonts w:hint="eastAsia" w:ascii="宋体" w:hAnsi="宋体" w:cs="宋体"/>
                <w:bCs/>
                <w:sz w:val="21"/>
                <w:szCs w:val="21"/>
                <w:highlight w:val="none"/>
                <w:lang w:val="en-US" w:eastAsia="zh-CN"/>
              </w:rPr>
              <w:t>0</w:t>
            </w:r>
            <w:r>
              <w:rPr>
                <w:rFonts w:hint="eastAsia" w:ascii="宋体" w:hAnsi="宋体" w:cs="宋体"/>
                <w:bCs/>
                <w:sz w:val="21"/>
                <w:szCs w:val="21"/>
                <w:highlight w:val="none"/>
              </w:rPr>
              <w:t>分；未提供相关说明不得分。</w:t>
            </w:r>
          </w:p>
          <w:p w14:paraId="47C7905C">
            <w:pPr>
              <w:spacing w:line="360" w:lineRule="auto"/>
              <w:jc w:val="left"/>
              <w:rPr>
                <w:rFonts w:hint="eastAsia" w:ascii="宋体" w:hAnsi="宋体" w:cs="宋体"/>
                <w:szCs w:val="21"/>
                <w:highlight w:val="none"/>
              </w:rPr>
            </w:pPr>
            <w:r>
              <w:rPr>
                <w:rFonts w:hint="eastAsia" w:ascii="宋体" w:hAnsi="宋体" w:cs="宋体"/>
                <w:szCs w:val="21"/>
                <w:highlight w:val="none"/>
              </w:rPr>
              <w:t>2、安全管理方案</w:t>
            </w:r>
            <w:r>
              <w:rPr>
                <w:rFonts w:hint="eastAsia" w:ascii="宋体" w:hAnsi="宋体" w:cs="宋体"/>
                <w:bCs/>
                <w:szCs w:val="21"/>
                <w:highlight w:val="none"/>
              </w:rPr>
              <w:t>：细致全面、合理、实用性强，得10分；较为完整、基本响应采购需求，得6分；内容欠缺、响应度低、实用性较差，得2分；未提供相关说明不得分。</w:t>
            </w:r>
          </w:p>
          <w:p w14:paraId="0B82A5A9">
            <w:pPr>
              <w:spacing w:line="360" w:lineRule="auto"/>
              <w:jc w:val="left"/>
              <w:rPr>
                <w:rFonts w:hint="eastAsia" w:ascii="宋体" w:hAnsi="宋体" w:cs="宋体"/>
                <w:szCs w:val="21"/>
                <w:highlight w:val="none"/>
              </w:rPr>
            </w:pPr>
            <w:r>
              <w:rPr>
                <w:rFonts w:hint="eastAsia" w:ascii="宋体" w:hAnsi="宋体" w:cs="宋体"/>
                <w:szCs w:val="21"/>
                <w:highlight w:val="none"/>
              </w:rPr>
              <w:t>3、改造质量保障方案</w:t>
            </w:r>
            <w:r>
              <w:rPr>
                <w:rFonts w:hint="eastAsia" w:ascii="宋体" w:hAnsi="宋体" w:cs="宋体"/>
                <w:bCs/>
                <w:szCs w:val="21"/>
                <w:highlight w:val="none"/>
              </w:rPr>
              <w:t>：细致全面、合理、实用性强</w:t>
            </w:r>
            <w:r>
              <w:rPr>
                <w:rFonts w:hint="eastAsia" w:ascii="宋体" w:hAnsi="宋体" w:cs="宋体"/>
                <w:bCs/>
                <w:color w:val="FF0000"/>
                <w:szCs w:val="21"/>
                <w:highlight w:val="none"/>
              </w:rPr>
              <w:t>得10分</w:t>
            </w:r>
            <w:r>
              <w:rPr>
                <w:rFonts w:hint="eastAsia" w:ascii="宋体" w:hAnsi="宋体" w:cs="宋体"/>
                <w:bCs/>
                <w:szCs w:val="21"/>
                <w:highlight w:val="none"/>
              </w:rPr>
              <w:t>；细致全面、合理、实用性强，得6分；较为完整、基本响应采购需求，得2分；内容欠缺、响应度低、实用性较差，得1分；未提供相关说明不得分</w:t>
            </w:r>
            <w:r>
              <w:rPr>
                <w:rFonts w:hint="eastAsia" w:ascii="宋体" w:hAnsi="宋体" w:cs="宋体"/>
                <w:szCs w:val="21"/>
                <w:highlight w:val="none"/>
              </w:rPr>
              <w:t>。</w:t>
            </w:r>
          </w:p>
        </w:tc>
      </w:tr>
      <w:tr w14:paraId="481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16" w:type="dxa"/>
            <w:tcBorders>
              <w:top w:val="single" w:color="auto" w:sz="4" w:space="0"/>
              <w:left w:val="single" w:color="auto" w:sz="4" w:space="0"/>
              <w:bottom w:val="single" w:color="auto" w:sz="4" w:space="0"/>
              <w:right w:val="single" w:color="auto" w:sz="4" w:space="0"/>
            </w:tcBorders>
            <w:vAlign w:val="center"/>
          </w:tcPr>
          <w:p w14:paraId="32FF71F0">
            <w:pPr>
              <w:spacing w:line="360" w:lineRule="auto"/>
              <w:jc w:val="center"/>
              <w:rPr>
                <w:rFonts w:hint="eastAsia" w:ascii="宋体" w:hAnsi="宋体" w:cs="宋体"/>
                <w:szCs w:val="21"/>
                <w:highlight w:val="none"/>
              </w:rPr>
            </w:pPr>
            <w:r>
              <w:rPr>
                <w:rFonts w:hint="eastAsia" w:ascii="宋体" w:hAnsi="宋体" w:cs="宋体"/>
                <w:szCs w:val="21"/>
                <w:highlight w:val="none"/>
              </w:rPr>
              <w:t>类似业绩</w:t>
            </w:r>
          </w:p>
          <w:p w14:paraId="0CC2D62A">
            <w:pPr>
              <w:spacing w:line="360" w:lineRule="auto"/>
              <w:jc w:val="center"/>
              <w:rPr>
                <w:rFonts w:hint="eastAsia" w:ascii="宋体" w:hAnsi="宋体" w:cs="宋体"/>
                <w:szCs w:val="21"/>
                <w:highlight w:val="none"/>
              </w:rPr>
            </w:pPr>
            <w:r>
              <w:rPr>
                <w:rFonts w:hint="eastAsia" w:ascii="宋体" w:hAnsi="宋体" w:cs="宋体"/>
                <w:szCs w:val="21"/>
                <w:highlight w:val="none"/>
              </w:rPr>
              <w:t>（20分）</w:t>
            </w:r>
          </w:p>
        </w:tc>
        <w:tc>
          <w:tcPr>
            <w:tcW w:w="7227" w:type="dxa"/>
            <w:tcBorders>
              <w:top w:val="single" w:color="auto" w:sz="4" w:space="0"/>
              <w:left w:val="single" w:color="auto" w:sz="4" w:space="0"/>
              <w:bottom w:val="single" w:color="auto" w:sz="4" w:space="0"/>
              <w:right w:val="single" w:color="auto" w:sz="4" w:space="0"/>
            </w:tcBorders>
            <w:vAlign w:val="center"/>
          </w:tcPr>
          <w:p w14:paraId="299EB1CC">
            <w:pPr>
              <w:pStyle w:val="156"/>
              <w:spacing w:line="360" w:lineRule="auto"/>
              <w:ind w:firstLine="0" w:firstLineChars="0"/>
              <w:rPr>
                <w:rFonts w:hint="eastAsia" w:ascii="宋体" w:hAnsi="宋体" w:cs="宋体"/>
                <w:sz w:val="21"/>
                <w:szCs w:val="21"/>
                <w:highlight w:val="none"/>
              </w:rPr>
            </w:pPr>
            <w:r>
              <w:rPr>
                <w:rFonts w:hint="eastAsia" w:ascii="宋体" w:hAnsi="宋体" w:cs="宋体"/>
                <w:sz w:val="21"/>
                <w:szCs w:val="21"/>
                <w:highlight w:val="none"/>
              </w:rPr>
              <w:t>供应商2021年1月1日至今承担过相关手术室洁净空调自动控制、医院空调自控系统或同等级空调能源站、恒温恒湿间空调自动控制项目，每提供一份合同业绩得5分，满分20分。</w:t>
            </w:r>
            <w:r>
              <w:rPr>
                <w:rFonts w:hint="eastAsia" w:ascii="宋体" w:hAnsi="宋体" w:cs="宋体"/>
                <w:b/>
                <w:bCs/>
                <w:sz w:val="21"/>
                <w:szCs w:val="21"/>
                <w:highlight w:val="none"/>
              </w:rPr>
              <w:t>（业绩应提供业绩证明材料复印件加盖供应商公章，材料应清晰明确，模糊不计分）；</w:t>
            </w:r>
          </w:p>
        </w:tc>
      </w:tr>
      <w:tr w14:paraId="46A1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16" w:type="dxa"/>
            <w:tcBorders>
              <w:top w:val="single" w:color="auto" w:sz="4" w:space="0"/>
              <w:left w:val="single" w:color="auto" w:sz="4" w:space="0"/>
              <w:right w:val="single" w:color="auto" w:sz="4" w:space="0"/>
            </w:tcBorders>
            <w:vAlign w:val="center"/>
          </w:tcPr>
          <w:p w14:paraId="4CE92472">
            <w:pPr>
              <w:spacing w:line="360" w:lineRule="auto"/>
              <w:jc w:val="center"/>
              <w:outlineLvl w:val="0"/>
              <w:rPr>
                <w:rFonts w:hint="eastAsia" w:ascii="宋体" w:hAnsi="宋体" w:cs="宋体"/>
                <w:szCs w:val="21"/>
                <w:highlight w:val="none"/>
              </w:rPr>
            </w:pPr>
            <w:r>
              <w:rPr>
                <w:rFonts w:hint="eastAsia" w:ascii="宋体" w:hAnsi="宋体" w:cs="宋体"/>
                <w:szCs w:val="21"/>
                <w:highlight w:val="none"/>
              </w:rPr>
              <w:t>合计</w:t>
            </w:r>
          </w:p>
        </w:tc>
        <w:tc>
          <w:tcPr>
            <w:tcW w:w="7227" w:type="dxa"/>
            <w:tcBorders>
              <w:top w:val="single" w:color="auto" w:sz="4" w:space="0"/>
              <w:left w:val="single" w:color="auto" w:sz="4" w:space="0"/>
              <w:right w:val="single" w:color="auto" w:sz="4" w:space="0"/>
            </w:tcBorders>
            <w:vAlign w:val="center"/>
          </w:tcPr>
          <w:p w14:paraId="27280DAC">
            <w:pPr>
              <w:spacing w:line="360" w:lineRule="auto"/>
              <w:jc w:val="center"/>
              <w:outlineLvl w:val="0"/>
              <w:rPr>
                <w:rFonts w:hint="eastAsia" w:ascii="宋体" w:hAnsi="宋体" w:cs="宋体"/>
                <w:szCs w:val="21"/>
                <w:highlight w:val="none"/>
              </w:rPr>
            </w:pPr>
            <w:r>
              <w:rPr>
                <w:rFonts w:hint="eastAsia" w:ascii="宋体" w:hAnsi="宋体" w:cs="宋体"/>
                <w:szCs w:val="21"/>
                <w:highlight w:val="none"/>
              </w:rPr>
              <w:t>100分</w:t>
            </w:r>
          </w:p>
        </w:tc>
      </w:tr>
    </w:tbl>
    <w:p w14:paraId="4A5878DE">
      <w:pPr>
        <w:pStyle w:val="62"/>
        <w:ind w:firstLine="0" w:firstLineChars="0"/>
        <w:sectPr>
          <w:pgSz w:w="11906" w:h="16838"/>
          <w:pgMar w:top="1418" w:right="1474" w:bottom="1021" w:left="1588" w:header="851" w:footer="567" w:gutter="0"/>
          <w:cols w:space="720" w:num="1"/>
          <w:titlePg/>
          <w:docGrid w:type="lines" w:linePitch="312" w:charSpace="0"/>
        </w:sectPr>
      </w:pPr>
    </w:p>
    <w:p w14:paraId="6182A00D">
      <w:pPr>
        <w:pStyle w:val="2"/>
        <w:spacing w:before="156" w:after="156" w:line="440" w:lineRule="exact"/>
        <w:rPr>
          <w:rFonts w:hint="eastAsia" w:ascii="华文楷体" w:hAnsi="华文楷体" w:eastAsia="华文楷体"/>
        </w:rPr>
      </w:pPr>
      <w:bookmarkStart w:id="19" w:name="_Toc521602503"/>
      <w:bookmarkStart w:id="20" w:name="_Toc4530"/>
      <w:r>
        <w:rPr>
          <w:rFonts w:hint="eastAsia"/>
          <w:highlight w:val="white"/>
        </w:rPr>
        <w:t>第四部分  项目需求</w:t>
      </w:r>
      <w:bookmarkEnd w:id="19"/>
      <w:bookmarkEnd w:id="20"/>
    </w:p>
    <w:p w14:paraId="6B430E0D">
      <w:pPr>
        <w:spacing w:line="440" w:lineRule="exact"/>
        <w:outlineLvl w:val="0"/>
        <w:rPr>
          <w:rFonts w:hint="eastAsia" w:ascii="宋体" w:hAnsi="宋体" w:cs="宋体"/>
          <w:b/>
          <w:bCs/>
          <w:sz w:val="24"/>
          <w:szCs w:val="24"/>
        </w:rPr>
      </w:pPr>
      <w:r>
        <w:rPr>
          <w:rFonts w:hint="eastAsia" w:ascii="宋体" w:hAnsi="宋体" w:cs="Times New Roman"/>
          <w:b/>
          <w:bCs w:val="0"/>
          <w:color w:val="000000"/>
          <w:sz w:val="24"/>
          <w:szCs w:val="22"/>
        </w:rPr>
        <w:t>一、服务项目</w:t>
      </w:r>
    </w:p>
    <w:p w14:paraId="52697F23">
      <w:pPr>
        <w:spacing w:line="360" w:lineRule="auto"/>
        <w:ind w:firstLine="420" w:firstLineChars="200"/>
        <w:rPr>
          <w:rFonts w:hint="eastAsia" w:ascii="宋体" w:hAnsi="宋体" w:cs="宋体"/>
          <w:szCs w:val="21"/>
        </w:rPr>
      </w:pPr>
      <w:r>
        <w:rPr>
          <w:rFonts w:hint="eastAsia" w:ascii="宋体" w:hAnsi="宋体" w:cs="宋体"/>
          <w:szCs w:val="21"/>
        </w:rPr>
        <w:t>拟采购综合楼手术室净化空调改造服务，此次采购服务大致范围如下：</w:t>
      </w:r>
    </w:p>
    <w:p w14:paraId="343F44EC">
      <w:pPr>
        <w:spacing w:line="360" w:lineRule="auto"/>
        <w:ind w:firstLine="420" w:firstLineChars="200"/>
        <w:rPr>
          <w:rFonts w:hint="eastAsia" w:ascii="宋体" w:hAnsi="宋体" w:cs="宋体"/>
          <w:szCs w:val="21"/>
        </w:rPr>
      </w:pPr>
      <w:r>
        <w:rPr>
          <w:rFonts w:hint="eastAsia" w:ascii="宋体" w:hAnsi="宋体" w:cs="宋体"/>
          <w:szCs w:val="21"/>
        </w:rPr>
        <w:t>本次改造拟通过增加辅助冷热源系统、新风预处理表冷段、新风过滤段、电动调节阀及温湿度传感器、智能群控系统等现场设备，对综合楼手术室净化空调机组进行改造，对新风进行处理，提高手术室温湿度控制精准度，增加手术区域舒适度。</w:t>
      </w:r>
    </w:p>
    <w:p w14:paraId="7A43D817">
      <w:pPr>
        <w:numPr>
          <w:ilvl w:val="255"/>
          <w:numId w:val="0"/>
        </w:numPr>
        <w:spacing w:line="440" w:lineRule="exact"/>
        <w:outlineLvl w:val="0"/>
        <w:rPr>
          <w:rFonts w:hint="eastAsia" w:ascii="宋体" w:hAnsi="宋体" w:cs="Times New Roman"/>
          <w:b/>
          <w:color w:val="000000" w:themeColor="text1"/>
          <w:sz w:val="24"/>
          <w14:textFill>
            <w14:solidFill>
              <w14:schemeClr w14:val="tx1"/>
            </w14:solidFill>
          </w14:textFill>
        </w:rPr>
      </w:pPr>
      <w:r>
        <w:rPr>
          <w:rFonts w:hint="eastAsia" w:ascii="宋体" w:hAnsi="宋体" w:cs="Times New Roman"/>
          <w:b/>
          <w:bCs w:val="0"/>
          <w:color w:val="000000" w:themeColor="text1"/>
          <w:sz w:val="24"/>
          <w:szCs w:val="22"/>
          <w14:textFill>
            <w14:solidFill>
              <w14:schemeClr w14:val="tx1"/>
            </w14:solidFill>
          </w14:textFill>
        </w:rPr>
        <w:t>二、工作内容</w:t>
      </w:r>
    </w:p>
    <w:p w14:paraId="17C5D9B4">
      <w:pPr>
        <w:spacing w:line="360" w:lineRule="auto"/>
        <w:rPr>
          <w:rFonts w:hint="eastAsia" w:ascii="宋体" w:hAnsi="宋体" w:cs="宋体"/>
          <w:szCs w:val="21"/>
        </w:rPr>
      </w:pPr>
      <w:r>
        <w:rPr>
          <w:rFonts w:hint="eastAsia" w:ascii="宋体" w:hAnsi="宋体" w:cs="宋体"/>
          <w:szCs w:val="21"/>
        </w:rPr>
        <w:t>1、现场改造，包括但不限于以下内容 ：</w:t>
      </w:r>
    </w:p>
    <w:p w14:paraId="1C3D7EDF">
      <w:pPr>
        <w:spacing w:line="360" w:lineRule="auto"/>
        <w:ind w:left="420" w:leftChars="200"/>
        <w:rPr>
          <w:rFonts w:hint="eastAsia" w:ascii="宋体" w:hAnsi="宋体" w:cs="宋体"/>
          <w:szCs w:val="21"/>
        </w:rPr>
      </w:pPr>
      <w:r>
        <w:rPr>
          <w:rFonts w:hint="eastAsia" w:ascii="宋体" w:hAnsi="宋体" w:cs="宋体"/>
          <w:szCs w:val="21"/>
        </w:rPr>
        <w:t>1）增加辅助冷热源系统一套，包含风冷热泵主机一台，不锈钢循环水泵两台一用一备、缓冲水箱一台及配套空调管路、管件，空调管路材质采用PPR冷热水管；</w:t>
      </w:r>
    </w:p>
    <w:p w14:paraId="7E38F87D">
      <w:pPr>
        <w:spacing w:line="360" w:lineRule="auto"/>
        <w:ind w:left="420" w:leftChars="200"/>
        <w:rPr>
          <w:rFonts w:hint="eastAsia" w:ascii="宋体" w:hAnsi="宋体" w:cs="宋体"/>
          <w:szCs w:val="21"/>
        </w:rPr>
      </w:pPr>
      <w:r>
        <w:rPr>
          <w:rFonts w:hint="eastAsia" w:ascii="宋体" w:hAnsi="宋体" w:cs="宋体"/>
          <w:szCs w:val="21"/>
        </w:rPr>
        <w:t>2）增加新风表冷段及新风过滤段，接口尺寸参照原净化空调机组新风进风口大小，过滤网应可拆卸，过滤段安装高度应方便后期过滤网拆洗更换；</w:t>
      </w:r>
    </w:p>
    <w:p w14:paraId="6AA1DE8D">
      <w:pPr>
        <w:spacing w:line="360" w:lineRule="auto"/>
        <w:ind w:left="420" w:leftChars="200"/>
        <w:rPr>
          <w:rFonts w:hint="eastAsia" w:ascii="宋体" w:hAnsi="宋体" w:cs="宋体"/>
          <w:szCs w:val="21"/>
        </w:rPr>
      </w:pPr>
      <w:r>
        <w:rPr>
          <w:rFonts w:hint="eastAsia" w:ascii="宋体" w:hAnsi="宋体" w:cs="宋体"/>
          <w:szCs w:val="21"/>
        </w:rPr>
        <w:t>3）新增冷热源总配电箱及空调控制箱，冷热源总配电箱内包含风冷热泵主机电源及循环水泵电源（甲方提供主电源进核心控制箱，下端配电由投标方实施），空调控制箱的控制要求详见空调控制需求；</w:t>
      </w:r>
    </w:p>
    <w:p w14:paraId="5EE3ACE6">
      <w:pPr>
        <w:spacing w:line="360" w:lineRule="auto"/>
        <w:ind w:left="420" w:leftChars="200"/>
        <w:rPr>
          <w:rFonts w:hint="eastAsia" w:ascii="宋体" w:hAnsi="宋体" w:cs="宋体"/>
          <w:szCs w:val="21"/>
        </w:rPr>
      </w:pPr>
      <w:r>
        <w:rPr>
          <w:rFonts w:hint="eastAsia" w:ascii="宋体" w:hAnsi="宋体" w:cs="宋体"/>
          <w:szCs w:val="21"/>
        </w:rPr>
        <w:t>4）新增表冷段供回均应安装阀门，方便后期维护检修，增加检修用泄水阀，阀门应选用纯铜或不锈钢材质；</w:t>
      </w:r>
    </w:p>
    <w:p w14:paraId="5F6CE00D">
      <w:pPr>
        <w:spacing w:line="360" w:lineRule="auto"/>
        <w:ind w:left="420" w:leftChars="200"/>
        <w:rPr>
          <w:rFonts w:hint="eastAsia" w:ascii="宋体" w:hAnsi="宋体" w:cs="宋体"/>
          <w:szCs w:val="21"/>
        </w:rPr>
      </w:pPr>
      <w:r>
        <w:rPr>
          <w:rFonts w:hint="eastAsia" w:ascii="宋体" w:hAnsi="宋体" w:cs="宋体"/>
          <w:szCs w:val="21"/>
        </w:rPr>
        <w:t>5）新增空调管道所有登高位置均应增加排气装置，管道排管走向及安装高度不得影响现场原设备检修；</w:t>
      </w:r>
    </w:p>
    <w:p w14:paraId="6EDC2D29">
      <w:pPr>
        <w:spacing w:line="360" w:lineRule="auto"/>
        <w:ind w:left="420" w:leftChars="200"/>
        <w:rPr>
          <w:rFonts w:hint="eastAsia" w:ascii="宋体" w:hAnsi="宋体" w:cs="宋体"/>
          <w:szCs w:val="21"/>
        </w:rPr>
      </w:pPr>
      <w:r>
        <w:rPr>
          <w:rFonts w:hint="eastAsia" w:ascii="宋体" w:hAnsi="宋体" w:cs="宋体"/>
          <w:szCs w:val="21"/>
        </w:rPr>
        <w:t>6）空调机组送风段及回风段增加温湿度传感器，过滤段两端增加空气压差开关，新增表冷段管道增加电动调节阀，增加自控设备配管布线至就近空调控制箱；</w:t>
      </w:r>
    </w:p>
    <w:p w14:paraId="0510134C">
      <w:pPr>
        <w:spacing w:line="360" w:lineRule="auto"/>
        <w:ind w:left="420" w:leftChars="200"/>
        <w:rPr>
          <w:rFonts w:hint="eastAsia" w:ascii="宋体" w:hAnsi="宋体" w:cs="宋体"/>
          <w:szCs w:val="21"/>
        </w:rPr>
      </w:pPr>
      <w:r>
        <w:rPr>
          <w:rFonts w:hint="eastAsia" w:ascii="宋体" w:hAnsi="宋体" w:cs="宋体"/>
          <w:szCs w:val="21"/>
        </w:rPr>
        <w:t>7）手术室内增加温控面板，面板应显示清晰、易于操作</w:t>
      </w:r>
      <w:r>
        <w:rPr>
          <w:rFonts w:hint="eastAsia" w:ascii="宋体" w:hAnsi="宋体" w:cs="宋体"/>
          <w:color w:val="FF0000"/>
          <w:szCs w:val="21"/>
        </w:rPr>
        <w:t>，过道或护士站增加集中控制屏一块</w:t>
      </w:r>
      <w:r>
        <w:rPr>
          <w:rFonts w:hint="eastAsia" w:ascii="宋体" w:hAnsi="宋体" w:cs="宋体"/>
          <w:szCs w:val="21"/>
        </w:rPr>
        <w:t>，方便医护人员集中控制。</w:t>
      </w:r>
    </w:p>
    <w:p w14:paraId="0FBD60F4">
      <w:pPr>
        <w:spacing w:line="360" w:lineRule="auto"/>
        <w:ind w:left="420" w:leftChars="200"/>
        <w:rPr>
          <w:rFonts w:hint="eastAsia" w:ascii="宋体" w:hAnsi="宋体" w:cs="宋体"/>
          <w:szCs w:val="21"/>
        </w:rPr>
      </w:pPr>
      <w:r>
        <w:rPr>
          <w:rFonts w:hint="eastAsia" w:ascii="宋体" w:hAnsi="宋体" w:cs="宋体"/>
          <w:szCs w:val="21"/>
        </w:rPr>
        <w:t>8）空调供回主管应设立旁通回路，分手动与自动两组，供回主管安装压力传感器，传感器及电动阀配管布线至核心控制箱；</w:t>
      </w:r>
    </w:p>
    <w:p w14:paraId="6F3D2935">
      <w:pPr>
        <w:spacing w:line="360" w:lineRule="auto"/>
        <w:ind w:left="420" w:leftChars="200"/>
        <w:rPr>
          <w:rFonts w:hint="eastAsia" w:ascii="宋体" w:hAnsi="宋体" w:cs="宋体"/>
          <w:szCs w:val="21"/>
        </w:rPr>
      </w:pPr>
      <w:r>
        <w:rPr>
          <w:rFonts w:hint="eastAsia" w:ascii="宋体" w:hAnsi="宋体" w:cs="宋体"/>
          <w:szCs w:val="21"/>
        </w:rPr>
        <w:t>9）现场支吊架安装，管道保温、风管保温，管道冲洗试压后排空，系统加注纯水，新增表冷段冷凝水管道安装；</w:t>
      </w:r>
    </w:p>
    <w:p w14:paraId="1862DBC7">
      <w:pPr>
        <w:spacing w:line="360" w:lineRule="auto"/>
        <w:ind w:left="420" w:leftChars="200"/>
        <w:rPr>
          <w:rFonts w:hint="eastAsia" w:ascii="宋体" w:hAnsi="宋体" w:cs="宋体"/>
          <w:szCs w:val="21"/>
        </w:rPr>
      </w:pPr>
      <w:r>
        <w:rPr>
          <w:rFonts w:hint="eastAsia" w:ascii="宋体" w:hAnsi="宋体" w:cs="宋体"/>
          <w:szCs w:val="21"/>
        </w:rPr>
        <w:t>10）现场共7台净化空调机组，其中两台机组新改造控制系统，可利旧使用控制箱，若无法利旧可另行安装，投标综合考虑；</w:t>
      </w:r>
    </w:p>
    <w:p w14:paraId="23962F25">
      <w:pPr>
        <w:spacing w:line="360" w:lineRule="auto"/>
        <w:ind w:firstLine="420" w:firstLineChars="200"/>
        <w:jc w:val="left"/>
        <w:rPr>
          <w:rFonts w:hint="eastAsia" w:ascii="宋体" w:hAnsi="宋体" w:cs="宋体"/>
          <w:szCs w:val="21"/>
        </w:rPr>
      </w:pPr>
      <w:r>
        <w:rPr>
          <w:rFonts w:hint="eastAsia" w:ascii="宋体" w:hAnsi="宋体" w:cs="宋体"/>
          <w:szCs w:val="21"/>
        </w:rPr>
        <w:t>11）机组开机调试，系统联动调试；</w:t>
      </w:r>
    </w:p>
    <w:p w14:paraId="539B6DB7">
      <w:pPr>
        <w:spacing w:line="360" w:lineRule="auto"/>
        <w:rPr>
          <w:rFonts w:hint="eastAsia" w:ascii="宋体" w:hAnsi="宋体" w:cs="宋体"/>
          <w:szCs w:val="21"/>
        </w:rPr>
      </w:pPr>
      <w:r>
        <w:rPr>
          <w:rFonts w:hint="eastAsia" w:ascii="宋体" w:hAnsi="宋体" w:cs="宋体"/>
          <w:szCs w:val="21"/>
        </w:rPr>
        <w:t>2、空调控制要求：</w:t>
      </w:r>
    </w:p>
    <w:p w14:paraId="0CCCE611">
      <w:pPr>
        <w:spacing w:line="360" w:lineRule="auto"/>
        <w:ind w:firstLine="420" w:firstLineChars="200"/>
        <w:rPr>
          <w:rFonts w:hint="eastAsia" w:ascii="宋体" w:hAnsi="宋体" w:cs="宋体"/>
          <w:szCs w:val="21"/>
        </w:rPr>
      </w:pPr>
      <w:r>
        <w:rPr>
          <w:rFonts w:hint="eastAsia" w:ascii="宋体" w:hAnsi="宋体" w:cs="宋体"/>
          <w:szCs w:val="21"/>
        </w:rPr>
        <w:t>1) 新增辅助空调冬季可制冷、制热，根据末端使用需求自动或手动切换；</w:t>
      </w:r>
    </w:p>
    <w:p w14:paraId="2BA2D2D3">
      <w:pPr>
        <w:spacing w:line="360" w:lineRule="auto"/>
        <w:ind w:firstLine="420" w:firstLineChars="200"/>
        <w:rPr>
          <w:rFonts w:hint="eastAsia" w:ascii="宋体" w:hAnsi="宋体" w:cs="宋体"/>
          <w:szCs w:val="21"/>
        </w:rPr>
      </w:pPr>
      <w:r>
        <w:rPr>
          <w:rFonts w:hint="eastAsia" w:ascii="宋体" w:hAnsi="宋体" w:cs="宋体"/>
          <w:szCs w:val="21"/>
        </w:rPr>
        <w:t>2) 过渡季节空调需求量较小时，大系统不开，小系统单独供冷或供热运行；</w:t>
      </w:r>
    </w:p>
    <w:p w14:paraId="207EA86B">
      <w:pPr>
        <w:spacing w:line="360" w:lineRule="auto"/>
        <w:ind w:left="420" w:leftChars="200"/>
        <w:rPr>
          <w:rFonts w:hint="eastAsia" w:ascii="宋体" w:hAnsi="宋体" w:cs="宋体"/>
          <w:szCs w:val="21"/>
        </w:rPr>
      </w:pPr>
      <w:r>
        <w:rPr>
          <w:rFonts w:hint="eastAsia" w:ascii="宋体" w:hAnsi="宋体" w:cs="宋体"/>
          <w:szCs w:val="21"/>
        </w:rPr>
        <w:t>3) 夏季高温时期，增加空调制冷量，室外高湿情况下新风预处理除湿降温，</w:t>
      </w:r>
      <w:r>
        <w:rPr>
          <w:rFonts w:hint="eastAsia" w:ascii="宋体" w:hAnsi="宋体" w:cs="宋体"/>
          <w:szCs w:val="21"/>
          <w:highlight w:val="yellow"/>
        </w:rPr>
        <w:t>在外界温度35℃、湿度90%时</w:t>
      </w:r>
      <w:r>
        <w:rPr>
          <w:rFonts w:hint="eastAsia" w:ascii="宋体" w:hAnsi="宋体" w:cs="宋体"/>
          <w:szCs w:val="21"/>
        </w:rPr>
        <w:t>，</w:t>
      </w:r>
      <w:r>
        <w:rPr>
          <w:rFonts w:hint="eastAsia" w:ascii="宋体" w:hAnsi="宋体" w:cs="宋体"/>
          <w:szCs w:val="21"/>
          <w:highlight w:val="yellow"/>
        </w:rPr>
        <w:t>需保证室内湿度</w:t>
      </w:r>
      <w:r>
        <w:rPr>
          <w:rFonts w:hint="eastAsia" w:ascii="宋体" w:hAnsi="宋体" w:cs="宋体"/>
          <w:color w:val="000000" w:themeColor="text1"/>
          <w:szCs w:val="21"/>
          <w:highlight w:val="yellow"/>
          <w14:textFill>
            <w14:solidFill>
              <w14:schemeClr w14:val="tx1"/>
            </w14:solidFill>
          </w14:textFill>
        </w:rPr>
        <w:t>低于60%</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highlight w:val="yellow"/>
          <w14:textFill>
            <w14:solidFill>
              <w14:schemeClr w14:val="tx1"/>
            </w14:solidFill>
          </w14:textFill>
        </w:rPr>
        <w:t>温度</w:t>
      </w:r>
      <w:r>
        <w:rPr>
          <w:rFonts w:hint="eastAsia" w:ascii="宋体" w:hAnsi="宋体" w:cs="宋体"/>
          <w:szCs w:val="21"/>
          <w:highlight w:val="yellow"/>
        </w:rPr>
        <w:t>可降至22℃以下</w:t>
      </w:r>
      <w:r>
        <w:rPr>
          <w:rFonts w:hint="eastAsia" w:ascii="宋体" w:hAnsi="宋体" w:cs="宋体"/>
          <w:szCs w:val="21"/>
        </w:rPr>
        <w:t>（新增辅助空调主机制冷量及表冷段大小参照此项要求复核参数，可自行调整）；</w:t>
      </w:r>
    </w:p>
    <w:p w14:paraId="360FDA74">
      <w:pPr>
        <w:spacing w:line="360" w:lineRule="auto"/>
        <w:ind w:firstLine="420" w:firstLineChars="200"/>
        <w:rPr>
          <w:rFonts w:hint="eastAsia" w:ascii="宋体" w:hAnsi="宋体" w:cs="宋体"/>
          <w:szCs w:val="21"/>
        </w:rPr>
      </w:pPr>
      <w:r>
        <w:rPr>
          <w:rFonts w:hint="eastAsia" w:ascii="宋体" w:hAnsi="宋体" w:cs="宋体"/>
          <w:szCs w:val="21"/>
        </w:rPr>
        <w:t>4) 滤网压差报警，滤网两端压差过高时报警提示更换；</w:t>
      </w:r>
    </w:p>
    <w:p w14:paraId="193C55DB">
      <w:pPr>
        <w:spacing w:line="360" w:lineRule="auto"/>
        <w:ind w:firstLine="420" w:firstLineChars="200"/>
        <w:rPr>
          <w:rFonts w:hint="eastAsia" w:ascii="宋体" w:hAnsi="宋体" w:cs="宋体"/>
          <w:szCs w:val="21"/>
        </w:rPr>
      </w:pPr>
      <w:r>
        <w:rPr>
          <w:rFonts w:hint="eastAsia" w:ascii="宋体" w:hAnsi="宋体" w:cs="宋体"/>
          <w:szCs w:val="21"/>
        </w:rPr>
        <w:t>5）旁通阀自动控制，根据供回主管压差自动调节开度，保证系统水流量，避免主机故障；</w:t>
      </w:r>
    </w:p>
    <w:p w14:paraId="3AB67180">
      <w:pPr>
        <w:spacing w:line="360" w:lineRule="auto"/>
        <w:ind w:firstLine="420" w:firstLineChars="200"/>
        <w:rPr>
          <w:rFonts w:hint="eastAsia" w:ascii="宋体" w:hAnsi="宋体" w:cs="宋体"/>
          <w:szCs w:val="21"/>
        </w:rPr>
      </w:pPr>
      <w:r>
        <w:rPr>
          <w:rFonts w:hint="eastAsia" w:ascii="宋体" w:hAnsi="宋体" w:cs="宋体"/>
          <w:szCs w:val="21"/>
        </w:rPr>
        <w:t>6）管道压力异常报警，避免出现管道渗漏或传感器数据异常导致系统运行故障；</w:t>
      </w:r>
    </w:p>
    <w:p w14:paraId="042D0529">
      <w:pPr>
        <w:spacing w:line="360" w:lineRule="auto"/>
        <w:ind w:left="420" w:leftChars="200"/>
        <w:rPr>
          <w:rFonts w:hint="eastAsia" w:ascii="宋体" w:hAnsi="宋体" w:cs="宋体"/>
          <w:szCs w:val="21"/>
        </w:rPr>
      </w:pPr>
      <w:r>
        <w:rPr>
          <w:rFonts w:hint="eastAsia" w:ascii="宋体" w:hAnsi="宋体" w:cs="宋体"/>
          <w:szCs w:val="21"/>
        </w:rPr>
        <w:t>7）中央空调系统和新增辅助新风系统需要集成于一体，同时中央空调系统与新增辅助系统均开启时，新老两组电动阀根据设定温度与送回风温湿度联动控制，保证室内温度稳定（室内温度</w:t>
      </w:r>
      <w:r>
        <w:rPr>
          <w:rFonts w:hint="eastAsia" w:ascii="宋体" w:hAnsi="宋体" w:cs="宋体"/>
          <w:color w:val="FF0000"/>
          <w:szCs w:val="21"/>
        </w:rPr>
        <w:t>范围21℃±1℃</w:t>
      </w:r>
      <w:r>
        <w:rPr>
          <w:rFonts w:hint="eastAsia" w:ascii="宋体" w:hAnsi="宋体" w:cs="宋体"/>
          <w:szCs w:val="21"/>
        </w:rPr>
        <w:t>）</w:t>
      </w:r>
      <w:r>
        <w:rPr>
          <w:rFonts w:hint="eastAsia" w:ascii="宋体" w:hAnsi="宋体" w:cs="宋体"/>
          <w:color w:val="FF0000"/>
          <w:szCs w:val="21"/>
        </w:rPr>
        <w:t>；</w:t>
      </w:r>
    </w:p>
    <w:p w14:paraId="4E2B9836">
      <w:pPr>
        <w:spacing w:line="360" w:lineRule="auto"/>
        <w:ind w:left="420" w:leftChars="200"/>
        <w:rPr>
          <w:rFonts w:hint="eastAsia" w:ascii="宋体" w:hAnsi="宋体" w:cs="宋体"/>
          <w:szCs w:val="21"/>
        </w:rPr>
      </w:pPr>
      <w:r>
        <w:rPr>
          <w:rFonts w:hint="eastAsia" w:ascii="宋体" w:hAnsi="宋体" w:cs="宋体"/>
          <w:szCs w:val="21"/>
        </w:rPr>
        <w:t>8）主机设立联动启动逻辑，一键开机、一键关机，并设立定时启停功能，可在集中控制触摸屏设定定时开关机时间，减少人为操作，当手术室内空调仍在开机状态下，室外机不停机运行，水泵设置轮转运行模式，均匀机械磨损，水泵故障自动切换备用泵；</w:t>
      </w:r>
    </w:p>
    <w:p w14:paraId="797B30CC">
      <w:pPr>
        <w:spacing w:line="360" w:lineRule="auto"/>
        <w:ind w:firstLine="420" w:firstLineChars="200"/>
        <w:rPr>
          <w:rFonts w:hint="eastAsia" w:ascii="宋体" w:hAnsi="宋体" w:cs="宋体"/>
          <w:szCs w:val="21"/>
        </w:rPr>
      </w:pPr>
      <w:r>
        <w:rPr>
          <w:rFonts w:hint="eastAsia" w:ascii="宋体" w:hAnsi="宋体" w:cs="宋体"/>
          <w:szCs w:val="21"/>
        </w:rPr>
        <w:t>9）主机运行参数实时读取，主机应自带通讯端口；</w:t>
      </w:r>
    </w:p>
    <w:p w14:paraId="68EB6895">
      <w:pPr>
        <w:spacing w:line="360" w:lineRule="auto"/>
        <w:ind w:left="420" w:leftChars="200" w:firstLine="0" w:firstLineChars="0"/>
        <w:rPr>
          <w:rFonts w:hint="eastAsia" w:ascii="宋体" w:hAnsi="宋体" w:cs="宋体"/>
          <w:szCs w:val="21"/>
        </w:rPr>
      </w:pPr>
      <w:r>
        <w:rPr>
          <w:rFonts w:hint="eastAsia" w:ascii="宋体" w:hAnsi="宋体" w:cs="宋体"/>
          <w:szCs w:val="21"/>
        </w:rPr>
        <w:t>10）控制系统增设物联网功能，可通过手机实时监测系统运行情况、远程操控，系统报警信息可短信提醒紧急联系人，紧急联系人数量应在3位以上，</w:t>
      </w:r>
      <w:r>
        <w:rPr>
          <w:rFonts w:hint="eastAsia" w:ascii="宋体" w:hAnsi="宋体" w:cs="宋体"/>
          <w:color w:val="FF0000"/>
          <w:szCs w:val="21"/>
        </w:rPr>
        <w:t>物联卡流量预充5年</w:t>
      </w:r>
      <w:r>
        <w:rPr>
          <w:rFonts w:hint="eastAsia" w:ascii="宋体" w:hAnsi="宋体" w:cs="宋体"/>
          <w:szCs w:val="21"/>
        </w:rPr>
        <w:t>，投标时综合考虑</w:t>
      </w:r>
      <w:r>
        <w:rPr>
          <w:rFonts w:hint="eastAsia" w:ascii="宋体" w:hAnsi="宋体" w:cs="宋体"/>
          <w:szCs w:val="21"/>
          <w:lang w:eastAsia="zh-CN"/>
        </w:rPr>
        <w:t>，</w:t>
      </w:r>
      <w:r>
        <w:rPr>
          <w:rFonts w:hint="eastAsia" w:ascii="宋体" w:hAnsi="宋体" w:cs="宋体"/>
          <w:szCs w:val="21"/>
          <w:lang w:val="en-US" w:eastAsia="zh-CN"/>
        </w:rPr>
        <w:t>控制系统的整体操作、控制、对接等权限需向招标人无偿免费开放，不可新增其它任何费用。</w:t>
      </w:r>
    </w:p>
    <w:p w14:paraId="650641C9">
      <w:pPr>
        <w:spacing w:line="360" w:lineRule="auto"/>
        <w:ind w:firstLine="420" w:firstLineChars="200"/>
        <w:rPr>
          <w:rFonts w:hint="eastAsia" w:ascii="宋体" w:hAnsi="宋体" w:cs="宋体"/>
          <w:szCs w:val="21"/>
        </w:rPr>
      </w:pPr>
    </w:p>
    <w:p w14:paraId="3EA73305">
      <w:pPr>
        <w:spacing w:line="360" w:lineRule="auto"/>
        <w:ind w:firstLine="420" w:firstLineChars="200"/>
        <w:rPr>
          <w:rFonts w:hint="eastAsia" w:ascii="宋体" w:hAnsi="宋体" w:cs="宋体"/>
          <w:szCs w:val="21"/>
        </w:rPr>
      </w:pPr>
    </w:p>
    <w:p w14:paraId="53E3D909">
      <w:pPr>
        <w:spacing w:line="360" w:lineRule="auto"/>
        <w:ind w:firstLine="420" w:firstLineChars="200"/>
        <w:rPr>
          <w:rFonts w:hint="eastAsia" w:ascii="宋体" w:hAnsi="宋体" w:cs="宋体"/>
          <w:szCs w:val="21"/>
        </w:rPr>
      </w:pPr>
    </w:p>
    <w:p w14:paraId="10A873D3">
      <w:pPr>
        <w:spacing w:line="360" w:lineRule="auto"/>
        <w:ind w:firstLine="420" w:firstLineChars="200"/>
        <w:rPr>
          <w:rFonts w:hint="eastAsia" w:ascii="宋体" w:hAnsi="宋体" w:cs="宋体"/>
          <w:szCs w:val="21"/>
        </w:rPr>
      </w:pPr>
    </w:p>
    <w:p w14:paraId="3107D524">
      <w:pPr>
        <w:spacing w:line="360" w:lineRule="auto"/>
        <w:ind w:firstLine="420" w:firstLineChars="200"/>
        <w:rPr>
          <w:rFonts w:hint="eastAsia" w:ascii="宋体" w:hAnsi="宋体" w:cs="宋体"/>
          <w:szCs w:val="21"/>
        </w:rPr>
      </w:pPr>
    </w:p>
    <w:p w14:paraId="2B7A9857">
      <w:pPr>
        <w:spacing w:line="360" w:lineRule="auto"/>
        <w:ind w:firstLine="420" w:firstLineChars="200"/>
        <w:rPr>
          <w:rFonts w:hint="eastAsia" w:ascii="宋体" w:hAnsi="宋体" w:cs="宋体"/>
          <w:szCs w:val="21"/>
        </w:rPr>
      </w:pPr>
    </w:p>
    <w:p w14:paraId="0293C200">
      <w:pPr>
        <w:spacing w:line="360" w:lineRule="auto"/>
        <w:ind w:firstLine="420" w:firstLineChars="200"/>
        <w:rPr>
          <w:rFonts w:hint="eastAsia" w:ascii="宋体" w:hAnsi="宋体" w:cs="宋体"/>
          <w:szCs w:val="21"/>
        </w:rPr>
      </w:pPr>
    </w:p>
    <w:p w14:paraId="21A246D6">
      <w:pPr>
        <w:spacing w:line="360" w:lineRule="auto"/>
        <w:ind w:firstLine="420" w:firstLineChars="200"/>
        <w:rPr>
          <w:rFonts w:hint="eastAsia" w:ascii="宋体" w:hAnsi="宋体" w:cs="宋体"/>
          <w:szCs w:val="21"/>
        </w:rPr>
      </w:pPr>
    </w:p>
    <w:p w14:paraId="09635190">
      <w:pPr>
        <w:spacing w:line="360" w:lineRule="auto"/>
        <w:ind w:firstLine="420" w:firstLineChars="200"/>
        <w:rPr>
          <w:rFonts w:hint="eastAsia" w:ascii="宋体" w:hAnsi="宋体" w:cs="宋体"/>
          <w:szCs w:val="21"/>
        </w:rPr>
      </w:pPr>
    </w:p>
    <w:p w14:paraId="6C524D4E">
      <w:pPr>
        <w:spacing w:line="360" w:lineRule="auto"/>
        <w:ind w:firstLine="420" w:firstLineChars="200"/>
        <w:rPr>
          <w:rFonts w:hint="eastAsia" w:ascii="宋体" w:hAnsi="宋体" w:cs="宋体"/>
          <w:szCs w:val="21"/>
        </w:rPr>
      </w:pPr>
    </w:p>
    <w:p w14:paraId="77FF25CF">
      <w:pPr>
        <w:spacing w:line="360" w:lineRule="auto"/>
        <w:rPr>
          <w:rFonts w:hint="eastAsia" w:ascii="宋体" w:hAnsi="宋体" w:cs="宋体"/>
          <w:szCs w:val="21"/>
        </w:rPr>
      </w:pPr>
    </w:p>
    <w:p w14:paraId="3D98BDD8">
      <w:pPr>
        <w:numPr>
          <w:ilvl w:val="0"/>
          <w:numId w:val="1"/>
        </w:numPr>
        <w:spacing w:line="360" w:lineRule="auto"/>
        <w:rPr>
          <w:rFonts w:hint="eastAsia" w:ascii="宋体" w:hAnsi="宋体" w:cs="宋体"/>
          <w:szCs w:val="21"/>
        </w:rPr>
      </w:pPr>
      <w:r>
        <w:rPr>
          <w:rFonts w:hint="eastAsia" w:ascii="宋体" w:hAnsi="宋体" w:cs="宋体"/>
          <w:szCs w:val="21"/>
        </w:rPr>
        <w:t>改造清单：</w:t>
      </w:r>
    </w:p>
    <w:p w14:paraId="6099ADA3">
      <w:pPr>
        <w:spacing w:line="360" w:lineRule="auto"/>
        <w:rPr>
          <w:rFonts w:hint="eastAsia" w:ascii="宋体" w:hAnsi="宋体" w:cs="宋体"/>
          <w:szCs w:val="21"/>
        </w:rPr>
      </w:pPr>
    </w:p>
    <w:tbl>
      <w:tblPr>
        <w:tblStyle w:val="31"/>
        <w:tblW w:w="9504" w:type="dxa"/>
        <w:jc w:val="center"/>
        <w:tblLayout w:type="fixed"/>
        <w:tblCellMar>
          <w:top w:w="0" w:type="dxa"/>
          <w:left w:w="108" w:type="dxa"/>
          <w:bottom w:w="0" w:type="dxa"/>
          <w:right w:w="108" w:type="dxa"/>
        </w:tblCellMar>
      </w:tblPr>
      <w:tblGrid>
        <w:gridCol w:w="644"/>
        <w:gridCol w:w="1324"/>
        <w:gridCol w:w="2019"/>
        <w:gridCol w:w="3600"/>
        <w:gridCol w:w="915"/>
        <w:gridCol w:w="1002"/>
      </w:tblGrid>
      <w:tr w14:paraId="29BE760F">
        <w:tblPrEx>
          <w:tblCellMar>
            <w:top w:w="0" w:type="dxa"/>
            <w:left w:w="108" w:type="dxa"/>
            <w:bottom w:w="0" w:type="dxa"/>
            <w:right w:w="108" w:type="dxa"/>
          </w:tblCellMar>
        </w:tblPrEx>
        <w:trPr>
          <w:trHeight w:val="402"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048EAB3B">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序号</w:t>
            </w:r>
          </w:p>
        </w:tc>
        <w:tc>
          <w:tcPr>
            <w:tcW w:w="1324"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34D3322F">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系统</w:t>
            </w:r>
          </w:p>
        </w:tc>
        <w:tc>
          <w:tcPr>
            <w:tcW w:w="2019"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12732558">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名称</w:t>
            </w:r>
          </w:p>
        </w:tc>
        <w:tc>
          <w:tcPr>
            <w:tcW w:w="3600"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5CBA385F">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品牌/规格</w:t>
            </w:r>
          </w:p>
        </w:tc>
        <w:tc>
          <w:tcPr>
            <w:tcW w:w="91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58821AEF">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1002"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2116F14F">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单位</w:t>
            </w:r>
          </w:p>
        </w:tc>
      </w:tr>
      <w:tr w14:paraId="05D3F267">
        <w:tblPrEx>
          <w:tblCellMar>
            <w:top w:w="0" w:type="dxa"/>
            <w:left w:w="108" w:type="dxa"/>
            <w:bottom w:w="0" w:type="dxa"/>
            <w:right w:w="108" w:type="dxa"/>
          </w:tblCellMar>
        </w:tblPrEx>
        <w:trPr>
          <w:trHeight w:val="54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41AF77F9">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1</w:t>
            </w:r>
          </w:p>
        </w:tc>
        <w:tc>
          <w:tcPr>
            <w:tcW w:w="1324" w:type="dxa"/>
            <w:vMerge w:val="restart"/>
            <w:tcBorders>
              <w:top w:val="single" w:color="000000" w:sz="4" w:space="0"/>
              <w:left w:val="single" w:color="000000" w:sz="4" w:space="0"/>
              <w:right w:val="single" w:color="000000" w:sz="4" w:space="0"/>
            </w:tcBorders>
            <w:noWrap/>
            <w:vAlign w:val="center"/>
          </w:tcPr>
          <w:p w14:paraId="4A89374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控制系统</w:t>
            </w: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069D5B11">
            <w:pPr>
              <w:widowControl/>
              <w:ind w:firstLine="440" w:firstLineChars="200"/>
              <w:jc w:val="center"/>
              <w:textAlignment w:val="center"/>
              <w:rPr>
                <w:rFonts w:hint="eastAsia" w:ascii="宋体" w:hAnsi="宋体" w:cs="宋体"/>
                <w:color w:val="000000"/>
                <w:sz w:val="22"/>
              </w:rPr>
            </w:pPr>
            <w:r>
              <w:rPr>
                <w:rFonts w:hint="eastAsia" w:ascii="宋体" w:hAnsi="宋体" w:cs="宋体"/>
                <w:color w:val="000000"/>
                <w:kern w:val="0"/>
                <w:sz w:val="22"/>
                <w:lang w:bidi="ar"/>
              </w:rPr>
              <w:t>冷热源总配电箱</w:t>
            </w:r>
          </w:p>
        </w:tc>
        <w:tc>
          <w:tcPr>
            <w:tcW w:w="3600" w:type="dxa"/>
            <w:vMerge w:val="restart"/>
            <w:tcBorders>
              <w:top w:val="single" w:color="000000" w:sz="4" w:space="0"/>
              <w:left w:val="single" w:color="000000" w:sz="4" w:space="0"/>
              <w:right w:val="single" w:color="000000" w:sz="4" w:space="0"/>
            </w:tcBorders>
            <w:noWrap/>
            <w:vAlign w:val="center"/>
          </w:tcPr>
          <w:p w14:paraId="29EBFC7B">
            <w:pPr>
              <w:widowControl/>
              <w:numPr>
                <w:ilvl w:val="0"/>
                <w:numId w:val="2"/>
              </w:numPr>
              <w:jc w:val="left"/>
              <w:textAlignment w:val="center"/>
              <w:rPr>
                <w:rFonts w:hint="eastAsia" w:ascii="宋体" w:hAnsi="宋体" w:cs="宋体"/>
                <w:szCs w:val="21"/>
              </w:rPr>
            </w:pPr>
            <w:r>
              <w:rPr>
                <w:rFonts w:hint="eastAsia" w:ascii="宋体" w:hAnsi="宋体" w:cs="宋体"/>
                <w:szCs w:val="21"/>
              </w:rPr>
              <w:t>规格参数：满足改造方案点位需求并预留满足后期拓展点位；</w:t>
            </w:r>
          </w:p>
          <w:p w14:paraId="2BBDA41F">
            <w:pPr>
              <w:widowControl/>
              <w:numPr>
                <w:ilvl w:val="0"/>
                <w:numId w:val="2"/>
              </w:numPr>
              <w:jc w:val="left"/>
              <w:textAlignment w:val="center"/>
              <w:rPr>
                <w:rFonts w:hint="eastAsia" w:ascii="宋体" w:hAnsi="宋体" w:cs="宋体"/>
                <w:color w:val="000000"/>
                <w:sz w:val="22"/>
              </w:rPr>
            </w:pPr>
            <w:r>
              <w:rPr>
                <w:rFonts w:hint="eastAsia" w:ascii="宋体" w:hAnsi="宋体" w:cs="宋体"/>
                <w:szCs w:val="21"/>
              </w:rPr>
              <w:t>品牌要求：控制器采用西门子,主要电气元器件采用施耐德，电箱采用国优品牌，</w:t>
            </w:r>
            <w:r>
              <w:rPr>
                <w:rFonts w:hint="eastAsia" w:ascii="宋体" w:hAnsi="宋体" w:cs="宋体"/>
                <w:szCs w:val="21"/>
                <w:highlight w:val="cyan"/>
                <w:lang w:eastAsia="zh-CN"/>
              </w:rPr>
              <w:t>强电</w:t>
            </w:r>
            <w:r>
              <w:rPr>
                <w:rFonts w:hint="eastAsia" w:ascii="宋体" w:hAnsi="宋体" w:cs="宋体"/>
                <w:szCs w:val="21"/>
                <w:highlight w:val="cyan"/>
              </w:rPr>
              <w:t>电缆</w:t>
            </w:r>
            <w:r>
              <w:rPr>
                <w:rFonts w:hint="eastAsia" w:ascii="宋体" w:hAnsi="宋体" w:cs="宋体"/>
                <w:szCs w:val="21"/>
              </w:rPr>
              <w:t>采用上上/远东</w:t>
            </w:r>
            <w:r>
              <w:rPr>
                <w:rFonts w:hint="eastAsia" w:ascii="宋体" w:hAnsi="宋体" w:cs="宋体"/>
                <w:szCs w:val="21"/>
                <w:highlight w:val="yellow"/>
              </w:rPr>
              <w:t>/江扬</w:t>
            </w:r>
            <w:r>
              <w:rPr>
                <w:rFonts w:hint="eastAsia" w:ascii="宋体" w:hAnsi="宋体" w:cs="宋体"/>
                <w:szCs w:val="21"/>
                <w:highlight w:val="yellow"/>
                <w:lang w:eastAsia="zh-CN"/>
              </w:rPr>
              <w:t>，</w:t>
            </w:r>
            <w:r>
              <w:rPr>
                <w:rFonts w:hint="eastAsia" w:ascii="宋体" w:hAnsi="宋体" w:cs="宋体"/>
                <w:szCs w:val="21"/>
                <w:highlight w:val="cyan"/>
                <w:lang w:eastAsia="zh-CN"/>
              </w:rPr>
              <w:t>弱电电缆采用天诚</w:t>
            </w:r>
            <w:r>
              <w:rPr>
                <w:rFonts w:hint="eastAsia" w:ascii="宋体" w:hAnsi="宋体" w:cs="宋体"/>
                <w:szCs w:val="21"/>
                <w:highlight w:val="cyan"/>
                <w:lang w:val="en-US" w:eastAsia="zh-CN"/>
              </w:rPr>
              <w:t>/上扬/联通</w:t>
            </w:r>
            <w:r>
              <w:rPr>
                <w:rFonts w:hint="eastAsia" w:ascii="宋体" w:hAnsi="宋体" w:cs="宋体"/>
                <w:szCs w:val="21"/>
              </w:rPr>
              <w:t>；</w:t>
            </w:r>
          </w:p>
          <w:p w14:paraId="2EC5A0D3">
            <w:pPr>
              <w:widowControl/>
              <w:numPr>
                <w:ilvl w:val="0"/>
                <w:numId w:val="2"/>
              </w:numPr>
              <w:jc w:val="left"/>
              <w:textAlignment w:val="center"/>
              <w:rPr>
                <w:rFonts w:hint="eastAsia" w:ascii="宋体" w:hAnsi="宋体" w:cs="宋体"/>
                <w:color w:val="000000"/>
                <w:sz w:val="22"/>
              </w:rPr>
            </w:pPr>
            <w:r>
              <w:rPr>
                <w:rFonts w:hint="eastAsia" w:ascii="宋体" w:hAnsi="宋体" w:cs="宋体"/>
                <w:szCs w:val="21"/>
              </w:rPr>
              <w:t>其它要求：室外安装需选用防护等级IP54以上不锈钢室外电箱，为国家标准合格产品；</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8BB5419">
            <w:pPr>
              <w:widowControl/>
              <w:ind w:firstLine="440" w:firstLineChars="200"/>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2DB6DEB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台</w:t>
            </w:r>
          </w:p>
        </w:tc>
      </w:tr>
      <w:tr w14:paraId="78AEF21C">
        <w:tblPrEx>
          <w:tblCellMar>
            <w:top w:w="0" w:type="dxa"/>
            <w:left w:w="108" w:type="dxa"/>
            <w:bottom w:w="0" w:type="dxa"/>
            <w:right w:w="108" w:type="dxa"/>
          </w:tblCellMar>
        </w:tblPrEx>
        <w:trPr>
          <w:trHeight w:val="36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1FE2D65E">
            <w:pPr>
              <w:widowControl/>
              <w:jc w:val="center"/>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2</w:t>
            </w:r>
          </w:p>
        </w:tc>
        <w:tc>
          <w:tcPr>
            <w:tcW w:w="1324" w:type="dxa"/>
            <w:vMerge w:val="continue"/>
            <w:tcBorders>
              <w:left w:val="single" w:color="000000" w:sz="4" w:space="0"/>
              <w:right w:val="single" w:color="000000" w:sz="4" w:space="0"/>
            </w:tcBorders>
            <w:noWrap/>
            <w:vAlign w:val="center"/>
          </w:tcPr>
          <w:p w14:paraId="69A42C57">
            <w:pPr>
              <w:jc w:val="center"/>
              <w:rPr>
                <w:rFonts w:hint="eastAsia" w:ascii="宋体" w:hAnsi="宋体" w:cs="宋体"/>
                <w:color w:val="000000"/>
                <w:sz w:val="22"/>
              </w:rPr>
            </w:pP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44F30F63">
            <w:pPr>
              <w:widowControl/>
              <w:ind w:firstLine="440" w:firstLineChars="200"/>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配电线缆</w:t>
            </w:r>
          </w:p>
        </w:tc>
        <w:tc>
          <w:tcPr>
            <w:tcW w:w="3600" w:type="dxa"/>
            <w:vMerge w:val="continue"/>
            <w:tcBorders>
              <w:left w:val="single" w:color="000000" w:sz="4" w:space="0"/>
              <w:right w:val="single" w:color="000000" w:sz="4" w:space="0"/>
            </w:tcBorders>
            <w:noWrap/>
            <w:vAlign w:val="center"/>
          </w:tcPr>
          <w:p w14:paraId="78268602">
            <w:pPr>
              <w:widowControl/>
              <w:ind w:firstLine="440" w:firstLineChars="200"/>
              <w:jc w:val="left"/>
              <w:textAlignment w:val="center"/>
              <w:rPr>
                <w:rFonts w:hint="eastAsia" w:ascii="宋体" w:hAnsi="宋体" w:cs="宋体"/>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01748CE">
            <w:pPr>
              <w:widowControl/>
              <w:ind w:firstLine="220" w:firstLineChars="100"/>
              <w:textAlignment w:val="center"/>
              <w:rPr>
                <w:rFonts w:hint="eastAsia" w:ascii="宋体" w:hAnsi="宋体" w:cs="宋体"/>
                <w:color w:val="000000"/>
                <w:sz w:val="22"/>
              </w:rPr>
            </w:pPr>
            <w:r>
              <w:rPr>
                <w:rFonts w:hint="eastAsia" w:ascii="宋体" w:hAnsi="宋体" w:cs="宋体"/>
                <w:color w:val="000000"/>
                <w:sz w:val="22"/>
              </w:rPr>
              <w:t>若干</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7A39FEC8">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米</w:t>
            </w:r>
          </w:p>
        </w:tc>
      </w:tr>
      <w:tr w14:paraId="08CA550A">
        <w:tblPrEx>
          <w:tblCellMar>
            <w:top w:w="0" w:type="dxa"/>
            <w:left w:w="108" w:type="dxa"/>
            <w:bottom w:w="0" w:type="dxa"/>
            <w:right w:w="108" w:type="dxa"/>
          </w:tblCellMar>
        </w:tblPrEx>
        <w:trPr>
          <w:trHeight w:val="36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3BFAC48E">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3</w:t>
            </w:r>
          </w:p>
        </w:tc>
        <w:tc>
          <w:tcPr>
            <w:tcW w:w="1324" w:type="dxa"/>
            <w:vMerge w:val="continue"/>
            <w:tcBorders>
              <w:left w:val="single" w:color="000000" w:sz="4" w:space="0"/>
              <w:right w:val="single" w:color="000000" w:sz="4" w:space="0"/>
            </w:tcBorders>
            <w:noWrap/>
            <w:vAlign w:val="center"/>
          </w:tcPr>
          <w:p w14:paraId="2C9155D9">
            <w:pPr>
              <w:jc w:val="center"/>
              <w:rPr>
                <w:rFonts w:hint="eastAsia" w:ascii="宋体" w:hAnsi="宋体" w:cs="宋体"/>
                <w:color w:val="000000"/>
                <w:sz w:val="22"/>
              </w:rPr>
            </w:pP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37B4AFE2">
            <w:pPr>
              <w:widowControl/>
              <w:ind w:firstLine="440" w:firstLineChars="200"/>
              <w:jc w:val="center"/>
              <w:textAlignment w:val="center"/>
              <w:rPr>
                <w:rFonts w:hint="eastAsia" w:ascii="宋体" w:hAnsi="宋体" w:cs="宋体"/>
                <w:color w:val="000000"/>
                <w:sz w:val="22"/>
              </w:rPr>
            </w:pPr>
            <w:r>
              <w:rPr>
                <w:rFonts w:hint="eastAsia" w:ascii="宋体" w:hAnsi="宋体" w:cs="宋体"/>
                <w:color w:val="000000"/>
                <w:kern w:val="0"/>
                <w:sz w:val="22"/>
                <w:lang w:bidi="ar"/>
              </w:rPr>
              <w:t>空调控制箱</w:t>
            </w:r>
          </w:p>
        </w:tc>
        <w:tc>
          <w:tcPr>
            <w:tcW w:w="3600" w:type="dxa"/>
            <w:vMerge w:val="continue"/>
            <w:tcBorders>
              <w:left w:val="single" w:color="000000" w:sz="4" w:space="0"/>
              <w:right w:val="single" w:color="000000" w:sz="4" w:space="0"/>
            </w:tcBorders>
            <w:noWrap/>
            <w:vAlign w:val="center"/>
          </w:tcPr>
          <w:p w14:paraId="2B39C33B">
            <w:pPr>
              <w:widowControl/>
              <w:ind w:firstLine="440" w:firstLineChars="200"/>
              <w:jc w:val="left"/>
              <w:textAlignment w:val="center"/>
              <w:rPr>
                <w:rFonts w:hint="eastAsia" w:ascii="宋体" w:hAnsi="宋体" w:cs="宋体"/>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E6B687B">
            <w:pPr>
              <w:widowControl/>
              <w:ind w:firstLine="440" w:firstLineChars="200"/>
              <w:textAlignment w:val="center"/>
              <w:rPr>
                <w:rFonts w:hint="eastAsia" w:ascii="宋体" w:hAnsi="宋体" w:cs="宋体"/>
                <w:color w:val="000000"/>
                <w:sz w:val="22"/>
              </w:rPr>
            </w:pPr>
            <w:r>
              <w:rPr>
                <w:rFonts w:hint="eastAsia" w:ascii="宋体" w:hAnsi="宋体" w:cs="宋体"/>
                <w:color w:val="000000"/>
                <w:sz w:val="22"/>
              </w:rPr>
              <w:t>5</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569D649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台</w:t>
            </w:r>
          </w:p>
        </w:tc>
      </w:tr>
      <w:tr w14:paraId="74EDBE4C">
        <w:tblPrEx>
          <w:tblCellMar>
            <w:top w:w="0" w:type="dxa"/>
            <w:left w:w="108" w:type="dxa"/>
            <w:bottom w:w="0" w:type="dxa"/>
            <w:right w:w="108" w:type="dxa"/>
          </w:tblCellMar>
        </w:tblPrEx>
        <w:trPr>
          <w:trHeight w:val="36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5E79C996">
            <w:pPr>
              <w:widowControl/>
              <w:jc w:val="center"/>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4</w:t>
            </w:r>
          </w:p>
        </w:tc>
        <w:tc>
          <w:tcPr>
            <w:tcW w:w="1324" w:type="dxa"/>
            <w:vMerge w:val="continue"/>
            <w:tcBorders>
              <w:left w:val="single" w:color="000000" w:sz="4" w:space="0"/>
              <w:right w:val="single" w:color="000000" w:sz="4" w:space="0"/>
            </w:tcBorders>
            <w:vAlign w:val="center"/>
          </w:tcPr>
          <w:p w14:paraId="520BBC23">
            <w:pPr>
              <w:widowControl/>
              <w:jc w:val="center"/>
              <w:textAlignment w:val="center"/>
              <w:rPr>
                <w:rFonts w:hint="eastAsia" w:ascii="宋体" w:hAnsi="宋体" w:cs="宋体"/>
                <w:color w:val="000000"/>
                <w:kern w:val="0"/>
                <w:sz w:val="22"/>
                <w:lang w:bidi="ar"/>
              </w:rPr>
            </w:pP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70B8F212">
            <w:pPr>
              <w:widowControl/>
              <w:ind w:firstLine="440" w:firstLineChars="200"/>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控制、通讯线缆</w:t>
            </w:r>
          </w:p>
        </w:tc>
        <w:tc>
          <w:tcPr>
            <w:tcW w:w="3600" w:type="dxa"/>
            <w:vMerge w:val="continue"/>
            <w:tcBorders>
              <w:left w:val="single" w:color="000000" w:sz="4" w:space="0"/>
              <w:right w:val="single" w:color="000000" w:sz="4" w:space="0"/>
            </w:tcBorders>
            <w:noWrap/>
            <w:vAlign w:val="center"/>
          </w:tcPr>
          <w:p w14:paraId="60B10256">
            <w:pPr>
              <w:numPr>
                <w:ilvl w:val="255"/>
                <w:numId w:val="0"/>
              </w:numPr>
              <w:tabs>
                <w:tab w:val="left" w:pos="404"/>
              </w:tabs>
              <w:ind w:firstLine="0" w:firstLineChars="0"/>
              <w:jc w:val="left"/>
              <w:rPr>
                <w:rFonts w:hint="eastAsia" w:ascii="宋体" w:hAnsi="宋体" w:cs="宋体"/>
                <w:szCs w:val="21"/>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EBBEA92">
            <w:pPr>
              <w:widowControl/>
              <w:ind w:firstLine="0" w:firstLineChars="0"/>
              <w:textAlignment w:val="center"/>
              <w:rPr>
                <w:rFonts w:hint="eastAsia" w:ascii="宋体" w:hAnsi="宋体" w:cs="宋体"/>
                <w:color w:val="000000"/>
                <w:sz w:val="22"/>
              </w:rPr>
            </w:pPr>
            <w:r>
              <w:rPr>
                <w:rFonts w:hint="eastAsia" w:ascii="宋体" w:hAnsi="宋体" w:cs="宋体"/>
                <w:color w:val="000000"/>
                <w:sz w:val="22"/>
              </w:rPr>
              <w:t>若干</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68C16F1F">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米</w:t>
            </w:r>
          </w:p>
        </w:tc>
      </w:tr>
      <w:tr w14:paraId="3AD2A11F">
        <w:tblPrEx>
          <w:tblCellMar>
            <w:top w:w="0" w:type="dxa"/>
            <w:left w:w="108" w:type="dxa"/>
            <w:bottom w:w="0" w:type="dxa"/>
            <w:right w:w="108" w:type="dxa"/>
          </w:tblCellMar>
        </w:tblPrEx>
        <w:trPr>
          <w:trHeight w:val="36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68CD7A5D">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5</w:t>
            </w:r>
          </w:p>
        </w:tc>
        <w:tc>
          <w:tcPr>
            <w:tcW w:w="1324" w:type="dxa"/>
            <w:vMerge w:val="restart"/>
            <w:tcBorders>
              <w:left w:val="single" w:color="000000" w:sz="4" w:space="0"/>
              <w:right w:val="single" w:color="000000" w:sz="4" w:space="0"/>
            </w:tcBorders>
            <w:vAlign w:val="center"/>
          </w:tcPr>
          <w:p w14:paraId="49C9C24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传感器及</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执行元件</w:t>
            </w: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0284F932">
            <w:pPr>
              <w:widowControl/>
              <w:ind w:firstLine="440" w:firstLineChars="200"/>
              <w:jc w:val="center"/>
              <w:textAlignment w:val="center"/>
              <w:rPr>
                <w:rFonts w:hint="eastAsia" w:ascii="宋体" w:hAnsi="宋体" w:cs="宋体"/>
                <w:color w:val="000000"/>
                <w:sz w:val="22"/>
              </w:rPr>
            </w:pPr>
            <w:r>
              <w:rPr>
                <w:rFonts w:hint="eastAsia" w:ascii="宋体" w:hAnsi="宋体" w:cs="宋体"/>
                <w:color w:val="000000"/>
                <w:kern w:val="0"/>
                <w:sz w:val="22"/>
                <w:lang w:bidi="ar"/>
              </w:rPr>
              <w:t>温湿度传感器</w:t>
            </w:r>
          </w:p>
        </w:tc>
        <w:tc>
          <w:tcPr>
            <w:tcW w:w="3600" w:type="dxa"/>
            <w:vMerge w:val="restart"/>
            <w:tcBorders>
              <w:top w:val="single" w:color="000000" w:sz="4" w:space="0"/>
              <w:left w:val="single" w:color="000000" w:sz="4" w:space="0"/>
              <w:right w:val="single" w:color="000000" w:sz="4" w:space="0"/>
            </w:tcBorders>
            <w:noWrap/>
            <w:vAlign w:val="center"/>
          </w:tcPr>
          <w:p w14:paraId="22C15655">
            <w:pPr>
              <w:widowControl/>
              <w:numPr>
                <w:ilvl w:val="255"/>
                <w:numId w:val="0"/>
              </w:numPr>
              <w:ind w:firstLine="0" w:firstLineChars="0"/>
              <w:jc w:val="left"/>
              <w:textAlignment w:val="center"/>
              <w:rPr>
                <w:rFonts w:hint="eastAsia" w:ascii="宋体" w:hAnsi="宋体" w:cs="宋体"/>
                <w:szCs w:val="21"/>
              </w:rPr>
            </w:pPr>
            <w:r>
              <w:rPr>
                <w:rFonts w:hint="eastAsia" w:ascii="宋体" w:hAnsi="宋体" w:cs="宋体"/>
                <w:szCs w:val="21"/>
              </w:rPr>
              <w:t>1、温度传感器精度为±0.5℃，湿度传感器精度±3%RH，品牌要求：西门子/霍尼韦尔/江森；</w:t>
            </w:r>
          </w:p>
          <w:p w14:paraId="3843040C">
            <w:pPr>
              <w:widowControl/>
              <w:numPr>
                <w:ilvl w:val="255"/>
                <w:numId w:val="0"/>
              </w:numPr>
              <w:ind w:firstLine="0" w:firstLineChars="0"/>
              <w:jc w:val="left"/>
              <w:textAlignment w:val="center"/>
              <w:rPr>
                <w:rFonts w:hint="eastAsia" w:ascii="宋体" w:hAnsi="宋体" w:cs="宋体"/>
                <w:szCs w:val="21"/>
              </w:rPr>
            </w:pPr>
            <w:r>
              <w:rPr>
                <w:rFonts w:hint="eastAsia" w:ascii="宋体" w:hAnsi="宋体" w:cs="宋体"/>
                <w:szCs w:val="21"/>
              </w:rPr>
              <w:t>2、电动调节阀、压差旁通阀，</w:t>
            </w:r>
            <w:r>
              <w:rPr>
                <w:rFonts w:hint="eastAsia" w:ascii="宋体" w:hAnsi="宋体" w:cs="宋体"/>
                <w:szCs w:val="21"/>
                <w:highlight w:val="cyan"/>
                <w:lang w:val="en-US" w:eastAsia="zh-CN"/>
              </w:rPr>
              <w:t>铜制</w:t>
            </w:r>
            <w:r>
              <w:rPr>
                <w:rFonts w:hint="eastAsia" w:ascii="宋体" w:hAnsi="宋体" w:cs="宋体"/>
                <w:szCs w:val="21"/>
                <w:highlight w:val="yellow"/>
              </w:rPr>
              <w:t>阀体</w:t>
            </w:r>
            <w:r>
              <w:rPr>
                <w:rFonts w:hint="eastAsia" w:ascii="宋体" w:hAnsi="宋体" w:cs="宋体"/>
                <w:szCs w:val="21"/>
              </w:rPr>
              <w:t>，品牌要求：西门子/霍尼韦尔；</w:t>
            </w:r>
          </w:p>
          <w:p w14:paraId="00EA5FDD">
            <w:pPr>
              <w:widowControl/>
              <w:numPr>
                <w:ilvl w:val="255"/>
                <w:numId w:val="0"/>
              </w:numPr>
              <w:ind w:firstLine="0" w:firstLineChars="0"/>
              <w:jc w:val="left"/>
              <w:textAlignment w:val="center"/>
              <w:rPr>
                <w:rFonts w:hint="eastAsia" w:ascii="宋体" w:hAnsi="宋体" w:cs="宋体"/>
                <w:szCs w:val="21"/>
              </w:rPr>
            </w:pPr>
            <w:r>
              <w:rPr>
                <w:rFonts w:hint="eastAsia" w:ascii="宋体" w:hAnsi="宋体" w:cs="宋体"/>
                <w:szCs w:val="21"/>
              </w:rPr>
              <w:t>3、手动</w:t>
            </w:r>
            <w:r>
              <w:rPr>
                <w:rFonts w:hint="eastAsia" w:ascii="宋体" w:hAnsi="宋体" w:cs="宋体"/>
                <w:szCs w:val="21"/>
                <w:lang w:val="en-US" w:eastAsia="zh-CN"/>
              </w:rPr>
              <w:t>阀门</w:t>
            </w:r>
            <w:r>
              <w:rPr>
                <w:rFonts w:hint="eastAsia" w:ascii="宋体" w:hAnsi="宋体" w:cs="宋体"/>
                <w:szCs w:val="21"/>
              </w:rPr>
              <w:t>，</w:t>
            </w:r>
            <w:r>
              <w:rPr>
                <w:rFonts w:hint="eastAsia" w:ascii="宋体" w:hAnsi="宋体" w:cs="宋体"/>
                <w:color w:val="auto"/>
                <w:kern w:val="2"/>
                <w:sz w:val="21"/>
                <w:szCs w:val="21"/>
                <w:lang w:bidi="ar"/>
              </w:rPr>
              <w:t>不锈钢/铜闸阀</w:t>
            </w:r>
            <w:r>
              <w:rPr>
                <w:rFonts w:hint="eastAsia" w:ascii="宋体" w:hAnsi="宋体" w:cs="宋体"/>
                <w:szCs w:val="21"/>
              </w:rPr>
              <w:t>，</w:t>
            </w:r>
            <w:r>
              <w:rPr>
                <w:rFonts w:hint="eastAsia" w:ascii="宋体" w:hAnsi="宋体" w:cs="宋体"/>
                <w:szCs w:val="21"/>
                <w:highlight w:val="cyan"/>
                <w:lang w:eastAsia="zh-CN"/>
              </w:rPr>
              <w:t>铜制</w:t>
            </w:r>
            <w:r>
              <w:rPr>
                <w:rFonts w:hint="eastAsia" w:ascii="宋体" w:hAnsi="宋体" w:cs="宋体"/>
                <w:szCs w:val="21"/>
              </w:rPr>
              <w:t>阀体，品牌要求：沪工/良工/沃茨；</w:t>
            </w:r>
          </w:p>
          <w:p w14:paraId="571FC1A2">
            <w:pPr>
              <w:widowControl/>
              <w:numPr>
                <w:ilvl w:val="255"/>
                <w:numId w:val="0"/>
              </w:numPr>
              <w:ind w:firstLine="0" w:firstLineChars="0"/>
              <w:jc w:val="left"/>
              <w:textAlignment w:val="center"/>
              <w:rPr>
                <w:rFonts w:hint="eastAsia" w:ascii="宋体" w:hAnsi="宋体" w:cs="宋体"/>
                <w:szCs w:val="21"/>
              </w:rPr>
            </w:pPr>
            <w:r>
              <w:rPr>
                <w:rFonts w:hint="eastAsia" w:ascii="宋体" w:hAnsi="宋体" w:cs="宋体"/>
                <w:szCs w:val="21"/>
                <w:lang w:bidi="ar"/>
              </w:rPr>
              <w:t>4、</w:t>
            </w:r>
            <w:r>
              <w:rPr>
                <w:rFonts w:hint="eastAsia" w:ascii="宋体" w:hAnsi="宋体" w:cs="宋体"/>
                <w:color w:val="auto"/>
                <w:kern w:val="2"/>
                <w:sz w:val="21"/>
                <w:szCs w:val="21"/>
                <w:lang w:bidi="ar"/>
              </w:rPr>
              <w:t>泄水、排气闸阀、自动排气阀，不锈钢/铜闸阀，</w:t>
            </w:r>
            <w:r>
              <w:rPr>
                <w:rFonts w:hint="eastAsia" w:ascii="宋体" w:hAnsi="宋体" w:cs="宋体"/>
                <w:szCs w:val="21"/>
              </w:rPr>
              <w:t>品牌要求：</w:t>
            </w:r>
            <w:r>
              <w:rPr>
                <w:rFonts w:hint="eastAsia" w:ascii="宋体" w:hAnsi="宋体" w:cs="宋体"/>
                <w:szCs w:val="21"/>
                <w:highlight w:val="cyan"/>
              </w:rPr>
              <w:t>沪工/良工/沃茨</w:t>
            </w:r>
            <w:r>
              <w:rPr>
                <w:rFonts w:hint="eastAsia" w:ascii="宋体" w:hAnsi="宋体" w:cs="宋体"/>
                <w:szCs w:val="21"/>
              </w:rPr>
              <w:t>；</w:t>
            </w:r>
          </w:p>
          <w:p w14:paraId="56060BC6">
            <w:pPr>
              <w:widowControl/>
              <w:numPr>
                <w:ilvl w:val="255"/>
                <w:numId w:val="0"/>
              </w:numPr>
              <w:ind w:firstLine="0" w:firstLineChars="0"/>
              <w:jc w:val="left"/>
              <w:textAlignment w:val="center"/>
              <w:rPr>
                <w:rFonts w:hint="eastAsia" w:ascii="宋体" w:hAnsi="宋体" w:cs="宋体"/>
                <w:szCs w:val="21"/>
              </w:rPr>
            </w:pPr>
            <w:r>
              <w:rPr>
                <w:rFonts w:hint="eastAsia" w:ascii="宋体" w:hAnsi="宋体" w:cs="宋体"/>
                <w:szCs w:val="21"/>
              </w:rPr>
              <w:t>5、压差开关，品牌要求：西门子/霍尼韦尔/江森</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19BE39C">
            <w:pPr>
              <w:widowControl/>
              <w:ind w:firstLine="440" w:firstLineChars="200"/>
              <w:textAlignment w:val="center"/>
              <w:rPr>
                <w:rFonts w:hint="eastAsia" w:ascii="宋体" w:hAnsi="宋体" w:cs="宋体"/>
                <w:color w:val="000000"/>
                <w:sz w:val="22"/>
              </w:rPr>
            </w:pPr>
            <w:r>
              <w:rPr>
                <w:rFonts w:hint="eastAsia" w:ascii="宋体" w:hAnsi="宋体" w:cs="宋体"/>
                <w:color w:val="000000"/>
                <w:sz w:val="22"/>
              </w:rPr>
              <w:t>14</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075BD09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台</w:t>
            </w:r>
          </w:p>
        </w:tc>
      </w:tr>
      <w:tr w14:paraId="7A97A395">
        <w:tblPrEx>
          <w:tblCellMar>
            <w:top w:w="0" w:type="dxa"/>
            <w:left w:w="108" w:type="dxa"/>
            <w:bottom w:w="0" w:type="dxa"/>
            <w:right w:w="108" w:type="dxa"/>
          </w:tblCellMar>
        </w:tblPrEx>
        <w:trPr>
          <w:trHeight w:val="36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676B9AFE">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6</w:t>
            </w:r>
          </w:p>
        </w:tc>
        <w:tc>
          <w:tcPr>
            <w:tcW w:w="1324" w:type="dxa"/>
            <w:vMerge w:val="continue"/>
            <w:tcBorders>
              <w:top w:val="single" w:color="000000" w:sz="4" w:space="0"/>
              <w:left w:val="single" w:color="000000" w:sz="4" w:space="0"/>
              <w:bottom w:val="single" w:color="000000" w:sz="4" w:space="0"/>
              <w:right w:val="single" w:color="000000" w:sz="4" w:space="0"/>
            </w:tcBorders>
            <w:vAlign w:val="center"/>
          </w:tcPr>
          <w:p w14:paraId="7F3433D1">
            <w:pPr>
              <w:jc w:val="center"/>
              <w:rPr>
                <w:rFonts w:hint="eastAsia" w:ascii="宋体" w:hAnsi="宋体" w:cs="宋体"/>
                <w:color w:val="000000"/>
                <w:sz w:val="22"/>
              </w:rPr>
            </w:pP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1479F7DD">
            <w:pPr>
              <w:widowControl/>
              <w:ind w:firstLine="440" w:firstLineChars="200"/>
              <w:jc w:val="center"/>
              <w:textAlignment w:val="center"/>
              <w:rPr>
                <w:rFonts w:hint="eastAsia" w:ascii="宋体" w:hAnsi="宋体" w:cs="宋体"/>
                <w:color w:val="000000"/>
                <w:sz w:val="22"/>
              </w:rPr>
            </w:pPr>
            <w:r>
              <w:rPr>
                <w:rFonts w:hint="eastAsia" w:ascii="宋体" w:hAnsi="宋体" w:cs="宋体"/>
                <w:color w:val="000000"/>
                <w:kern w:val="0"/>
                <w:sz w:val="22"/>
                <w:lang w:bidi="ar"/>
              </w:rPr>
              <w:t>电动调节阀</w:t>
            </w:r>
          </w:p>
        </w:tc>
        <w:tc>
          <w:tcPr>
            <w:tcW w:w="3600" w:type="dxa"/>
            <w:vMerge w:val="continue"/>
            <w:tcBorders>
              <w:left w:val="single" w:color="000000" w:sz="4" w:space="0"/>
              <w:right w:val="single" w:color="000000" w:sz="4" w:space="0"/>
            </w:tcBorders>
            <w:noWrap/>
            <w:vAlign w:val="center"/>
          </w:tcPr>
          <w:p w14:paraId="3AB7D93D">
            <w:pPr>
              <w:widowControl/>
              <w:jc w:val="left"/>
              <w:textAlignment w:val="center"/>
              <w:rPr>
                <w:rFonts w:hint="eastAsia" w:ascii="宋体" w:hAnsi="宋体" w:cs="宋体"/>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D0F651C">
            <w:pPr>
              <w:widowControl/>
              <w:ind w:firstLine="440" w:firstLineChars="200"/>
              <w:textAlignment w:val="center"/>
              <w:rPr>
                <w:rFonts w:hint="eastAsia" w:ascii="宋体" w:hAnsi="宋体" w:cs="宋体"/>
                <w:color w:val="000000"/>
                <w:sz w:val="22"/>
              </w:rPr>
            </w:pPr>
            <w:r>
              <w:rPr>
                <w:rFonts w:hint="eastAsia" w:ascii="宋体" w:hAnsi="宋体" w:cs="宋体"/>
                <w:color w:val="000000"/>
                <w:sz w:val="22"/>
              </w:rPr>
              <w:t>7</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6821917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个</w:t>
            </w:r>
          </w:p>
        </w:tc>
      </w:tr>
      <w:tr w14:paraId="4CACF2B3">
        <w:tblPrEx>
          <w:tblCellMar>
            <w:top w:w="0" w:type="dxa"/>
            <w:left w:w="108" w:type="dxa"/>
            <w:bottom w:w="0" w:type="dxa"/>
            <w:right w:w="108" w:type="dxa"/>
          </w:tblCellMar>
        </w:tblPrEx>
        <w:trPr>
          <w:trHeight w:val="36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3A61AACB">
            <w:pPr>
              <w:widowControl/>
              <w:jc w:val="center"/>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7</w:t>
            </w:r>
          </w:p>
        </w:tc>
        <w:tc>
          <w:tcPr>
            <w:tcW w:w="1324" w:type="dxa"/>
            <w:vMerge w:val="continue"/>
            <w:tcBorders>
              <w:top w:val="single" w:color="000000" w:sz="4" w:space="0"/>
              <w:left w:val="single" w:color="000000" w:sz="4" w:space="0"/>
              <w:bottom w:val="single" w:color="000000" w:sz="4" w:space="0"/>
              <w:right w:val="single" w:color="000000" w:sz="4" w:space="0"/>
            </w:tcBorders>
            <w:vAlign w:val="center"/>
          </w:tcPr>
          <w:p w14:paraId="609A368F">
            <w:pPr>
              <w:jc w:val="center"/>
              <w:rPr>
                <w:rFonts w:hint="eastAsia" w:ascii="宋体" w:hAnsi="宋体" w:cs="宋体"/>
                <w:color w:val="000000"/>
                <w:sz w:val="22"/>
              </w:rPr>
            </w:pP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7881A85B">
            <w:pPr>
              <w:widowControl/>
              <w:ind w:firstLine="440" w:firstLineChars="200"/>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手动阀门</w:t>
            </w:r>
          </w:p>
        </w:tc>
        <w:tc>
          <w:tcPr>
            <w:tcW w:w="3600" w:type="dxa"/>
            <w:vMerge w:val="continue"/>
            <w:tcBorders>
              <w:left w:val="single" w:color="000000" w:sz="4" w:space="0"/>
              <w:right w:val="single" w:color="000000" w:sz="4" w:space="0"/>
            </w:tcBorders>
            <w:noWrap/>
            <w:vAlign w:val="center"/>
          </w:tcPr>
          <w:p w14:paraId="6553DB0E">
            <w:pPr>
              <w:jc w:val="left"/>
              <w:rPr>
                <w:rFonts w:hint="eastAsia" w:ascii="宋体" w:hAnsi="宋体" w:cs="宋体"/>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5E8745B">
            <w:pPr>
              <w:widowControl/>
              <w:ind w:firstLine="440" w:firstLineChars="200"/>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17B1CBF2">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个</w:t>
            </w:r>
          </w:p>
        </w:tc>
      </w:tr>
      <w:tr w14:paraId="5B9D1BA2">
        <w:tblPrEx>
          <w:tblCellMar>
            <w:top w:w="0" w:type="dxa"/>
            <w:left w:w="108" w:type="dxa"/>
            <w:bottom w:w="0" w:type="dxa"/>
            <w:right w:w="108" w:type="dxa"/>
          </w:tblCellMar>
        </w:tblPrEx>
        <w:trPr>
          <w:trHeight w:val="36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78AAAA0A">
            <w:pPr>
              <w:widowControl/>
              <w:jc w:val="center"/>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8</w:t>
            </w:r>
          </w:p>
        </w:tc>
        <w:tc>
          <w:tcPr>
            <w:tcW w:w="1324" w:type="dxa"/>
            <w:vMerge w:val="continue"/>
            <w:tcBorders>
              <w:top w:val="single" w:color="000000" w:sz="4" w:space="0"/>
              <w:left w:val="single" w:color="000000" w:sz="4" w:space="0"/>
              <w:bottom w:val="single" w:color="000000" w:sz="4" w:space="0"/>
              <w:right w:val="single" w:color="000000" w:sz="4" w:space="0"/>
            </w:tcBorders>
            <w:vAlign w:val="center"/>
          </w:tcPr>
          <w:p w14:paraId="20C82D94">
            <w:pPr>
              <w:jc w:val="center"/>
              <w:rPr>
                <w:rFonts w:hint="eastAsia" w:ascii="宋体" w:hAnsi="宋体" w:cs="宋体"/>
                <w:color w:val="000000"/>
                <w:sz w:val="22"/>
              </w:rPr>
            </w:pP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5DC45349">
            <w:pPr>
              <w:widowControl/>
              <w:ind w:firstLine="440" w:firstLineChars="200"/>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闸阀</w:t>
            </w:r>
          </w:p>
        </w:tc>
        <w:tc>
          <w:tcPr>
            <w:tcW w:w="3600" w:type="dxa"/>
            <w:vMerge w:val="continue"/>
            <w:tcBorders>
              <w:left w:val="single" w:color="000000" w:sz="4" w:space="0"/>
              <w:right w:val="single" w:color="000000" w:sz="4" w:space="0"/>
            </w:tcBorders>
            <w:noWrap/>
            <w:vAlign w:val="center"/>
          </w:tcPr>
          <w:p w14:paraId="46C4F250">
            <w:pPr>
              <w:jc w:val="left"/>
              <w:rPr>
                <w:rFonts w:hint="eastAsia" w:ascii="宋体" w:hAnsi="宋体" w:cs="宋体"/>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4CC68B1">
            <w:pPr>
              <w:widowControl/>
              <w:ind w:firstLine="440" w:firstLineChars="200"/>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7FD41244">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个</w:t>
            </w:r>
          </w:p>
        </w:tc>
      </w:tr>
      <w:tr w14:paraId="770AFB96">
        <w:tblPrEx>
          <w:tblCellMar>
            <w:top w:w="0" w:type="dxa"/>
            <w:left w:w="108" w:type="dxa"/>
            <w:bottom w:w="0" w:type="dxa"/>
            <w:right w:w="108" w:type="dxa"/>
          </w:tblCellMar>
        </w:tblPrEx>
        <w:trPr>
          <w:trHeight w:val="36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2EE0506C">
            <w:pPr>
              <w:widowControl/>
              <w:jc w:val="center"/>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9</w:t>
            </w:r>
          </w:p>
        </w:tc>
        <w:tc>
          <w:tcPr>
            <w:tcW w:w="1324" w:type="dxa"/>
            <w:vMerge w:val="continue"/>
            <w:tcBorders>
              <w:top w:val="single" w:color="000000" w:sz="4" w:space="0"/>
              <w:left w:val="single" w:color="000000" w:sz="4" w:space="0"/>
              <w:bottom w:val="single" w:color="000000" w:sz="4" w:space="0"/>
              <w:right w:val="single" w:color="000000" w:sz="4" w:space="0"/>
            </w:tcBorders>
            <w:vAlign w:val="center"/>
          </w:tcPr>
          <w:p w14:paraId="7A24BCCA">
            <w:pPr>
              <w:jc w:val="center"/>
              <w:rPr>
                <w:rFonts w:hint="eastAsia" w:ascii="宋体" w:hAnsi="宋体" w:cs="宋体"/>
                <w:color w:val="000000"/>
                <w:sz w:val="22"/>
              </w:rPr>
            </w:pP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4F5FC795">
            <w:pPr>
              <w:widowControl/>
              <w:ind w:firstLine="440" w:firstLineChars="200"/>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自动排气阀</w:t>
            </w:r>
          </w:p>
        </w:tc>
        <w:tc>
          <w:tcPr>
            <w:tcW w:w="3600" w:type="dxa"/>
            <w:vMerge w:val="continue"/>
            <w:tcBorders>
              <w:left w:val="single" w:color="000000" w:sz="4" w:space="0"/>
              <w:right w:val="single" w:color="000000" w:sz="4" w:space="0"/>
            </w:tcBorders>
            <w:noWrap/>
            <w:vAlign w:val="center"/>
          </w:tcPr>
          <w:p w14:paraId="781F76BF">
            <w:pPr>
              <w:jc w:val="left"/>
              <w:rPr>
                <w:rFonts w:hint="eastAsia" w:ascii="宋体" w:hAnsi="宋体" w:cs="宋体"/>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4D5E35D">
            <w:pPr>
              <w:widowControl/>
              <w:ind w:firstLine="440" w:firstLineChars="200"/>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19154225">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个</w:t>
            </w:r>
          </w:p>
        </w:tc>
      </w:tr>
      <w:tr w14:paraId="7854DA54">
        <w:tblPrEx>
          <w:tblCellMar>
            <w:top w:w="0" w:type="dxa"/>
            <w:left w:w="108" w:type="dxa"/>
            <w:bottom w:w="0" w:type="dxa"/>
            <w:right w:w="108" w:type="dxa"/>
          </w:tblCellMar>
        </w:tblPrEx>
        <w:trPr>
          <w:trHeight w:val="36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77535AC3">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10</w:t>
            </w:r>
          </w:p>
        </w:tc>
        <w:tc>
          <w:tcPr>
            <w:tcW w:w="1324" w:type="dxa"/>
            <w:vMerge w:val="continue"/>
            <w:tcBorders>
              <w:top w:val="single" w:color="000000" w:sz="4" w:space="0"/>
              <w:left w:val="single" w:color="000000" w:sz="4" w:space="0"/>
              <w:bottom w:val="single" w:color="000000" w:sz="4" w:space="0"/>
              <w:right w:val="single" w:color="000000" w:sz="4" w:space="0"/>
            </w:tcBorders>
            <w:vAlign w:val="center"/>
          </w:tcPr>
          <w:p w14:paraId="7ABC7CA5">
            <w:pPr>
              <w:jc w:val="center"/>
              <w:rPr>
                <w:rFonts w:hint="eastAsia" w:ascii="宋体" w:hAnsi="宋体" w:cs="宋体"/>
                <w:color w:val="000000"/>
                <w:sz w:val="22"/>
              </w:rPr>
            </w:pP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785A0543">
            <w:pPr>
              <w:widowControl/>
              <w:ind w:firstLine="440" w:firstLineChars="200"/>
              <w:jc w:val="center"/>
              <w:textAlignment w:val="center"/>
              <w:rPr>
                <w:rFonts w:hint="eastAsia" w:ascii="宋体" w:hAnsi="宋体" w:cs="宋体"/>
                <w:color w:val="000000"/>
                <w:sz w:val="22"/>
              </w:rPr>
            </w:pPr>
            <w:r>
              <w:rPr>
                <w:rFonts w:hint="eastAsia" w:ascii="宋体" w:hAnsi="宋体" w:cs="宋体"/>
                <w:color w:val="000000"/>
                <w:kern w:val="0"/>
                <w:sz w:val="22"/>
                <w:lang w:bidi="ar"/>
              </w:rPr>
              <w:t>压力传感器</w:t>
            </w:r>
          </w:p>
        </w:tc>
        <w:tc>
          <w:tcPr>
            <w:tcW w:w="3600" w:type="dxa"/>
            <w:vMerge w:val="continue"/>
            <w:tcBorders>
              <w:left w:val="single" w:color="000000" w:sz="4" w:space="0"/>
              <w:right w:val="single" w:color="000000" w:sz="4" w:space="0"/>
            </w:tcBorders>
            <w:noWrap/>
            <w:vAlign w:val="center"/>
          </w:tcPr>
          <w:p w14:paraId="7E1CDA4A">
            <w:pPr>
              <w:jc w:val="left"/>
              <w:rPr>
                <w:rFonts w:hint="eastAsia" w:ascii="宋体" w:hAnsi="宋体" w:cs="宋体"/>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14F6A19">
            <w:pPr>
              <w:widowControl/>
              <w:ind w:firstLine="440" w:firstLineChars="200"/>
              <w:textAlignment w:val="center"/>
              <w:rPr>
                <w:rFonts w:hint="eastAsia" w:ascii="宋体" w:hAnsi="宋体" w:cs="宋体"/>
                <w:color w:val="000000"/>
                <w:sz w:val="22"/>
              </w:rPr>
            </w:pPr>
            <w:r>
              <w:rPr>
                <w:rFonts w:hint="eastAsia" w:ascii="宋体" w:hAnsi="宋体" w:cs="宋体"/>
                <w:color w:val="000000"/>
                <w:kern w:val="0"/>
                <w:sz w:val="22"/>
                <w:lang w:bidi="ar"/>
              </w:rPr>
              <w:t>2</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0F8E1FD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只</w:t>
            </w:r>
          </w:p>
        </w:tc>
      </w:tr>
      <w:tr w14:paraId="7DC800FC">
        <w:tblPrEx>
          <w:tblCellMar>
            <w:top w:w="0" w:type="dxa"/>
            <w:left w:w="108" w:type="dxa"/>
            <w:bottom w:w="0" w:type="dxa"/>
            <w:right w:w="108" w:type="dxa"/>
          </w:tblCellMar>
        </w:tblPrEx>
        <w:trPr>
          <w:trHeight w:val="36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5B0DA83E">
            <w:pPr>
              <w:widowControl/>
              <w:jc w:val="center"/>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11</w:t>
            </w:r>
          </w:p>
        </w:tc>
        <w:tc>
          <w:tcPr>
            <w:tcW w:w="1324" w:type="dxa"/>
            <w:vMerge w:val="continue"/>
            <w:tcBorders>
              <w:top w:val="single" w:color="000000" w:sz="4" w:space="0"/>
              <w:left w:val="single" w:color="000000" w:sz="4" w:space="0"/>
              <w:bottom w:val="single" w:color="000000" w:sz="4" w:space="0"/>
              <w:right w:val="single" w:color="000000" w:sz="4" w:space="0"/>
            </w:tcBorders>
            <w:vAlign w:val="center"/>
          </w:tcPr>
          <w:p w14:paraId="5029D366">
            <w:pPr>
              <w:jc w:val="center"/>
              <w:rPr>
                <w:rFonts w:hint="eastAsia" w:ascii="宋体" w:hAnsi="宋体" w:cs="宋体"/>
                <w:color w:val="000000"/>
                <w:sz w:val="22"/>
              </w:rPr>
            </w:pP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6A62E09E">
            <w:pPr>
              <w:widowControl/>
              <w:ind w:firstLine="440" w:firstLineChars="200"/>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压差开关</w:t>
            </w:r>
          </w:p>
        </w:tc>
        <w:tc>
          <w:tcPr>
            <w:tcW w:w="3600" w:type="dxa"/>
            <w:vMerge w:val="continue"/>
            <w:tcBorders>
              <w:left w:val="single" w:color="000000" w:sz="4" w:space="0"/>
              <w:right w:val="single" w:color="000000" w:sz="4" w:space="0"/>
            </w:tcBorders>
            <w:noWrap/>
            <w:vAlign w:val="center"/>
          </w:tcPr>
          <w:p w14:paraId="02D11432">
            <w:pPr>
              <w:jc w:val="left"/>
              <w:rPr>
                <w:rFonts w:hint="eastAsia" w:ascii="宋体" w:hAnsi="宋体" w:cs="宋体"/>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AF55F04">
            <w:pPr>
              <w:widowControl/>
              <w:ind w:firstLine="440" w:firstLineChars="200"/>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67AB21DA">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只</w:t>
            </w:r>
          </w:p>
        </w:tc>
      </w:tr>
      <w:tr w14:paraId="2A6647B4">
        <w:tblPrEx>
          <w:tblCellMar>
            <w:top w:w="0" w:type="dxa"/>
            <w:left w:w="108" w:type="dxa"/>
            <w:bottom w:w="0" w:type="dxa"/>
            <w:right w:w="108" w:type="dxa"/>
          </w:tblCellMar>
        </w:tblPrEx>
        <w:trPr>
          <w:trHeight w:val="36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5F904537">
            <w:pPr>
              <w:widowControl/>
              <w:jc w:val="center"/>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12</w:t>
            </w:r>
          </w:p>
        </w:tc>
        <w:tc>
          <w:tcPr>
            <w:tcW w:w="1324" w:type="dxa"/>
            <w:vMerge w:val="continue"/>
            <w:tcBorders>
              <w:top w:val="single" w:color="000000" w:sz="4" w:space="0"/>
              <w:left w:val="single" w:color="000000" w:sz="4" w:space="0"/>
              <w:bottom w:val="single" w:color="000000" w:sz="4" w:space="0"/>
              <w:right w:val="single" w:color="000000" w:sz="4" w:space="0"/>
            </w:tcBorders>
            <w:vAlign w:val="center"/>
          </w:tcPr>
          <w:p w14:paraId="28EE0279">
            <w:pPr>
              <w:jc w:val="center"/>
              <w:rPr>
                <w:rFonts w:hint="eastAsia" w:ascii="宋体" w:hAnsi="宋体" w:cs="宋体"/>
                <w:color w:val="000000"/>
                <w:sz w:val="22"/>
              </w:rPr>
            </w:pP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57BA21CA">
            <w:pPr>
              <w:widowControl/>
              <w:ind w:firstLine="440" w:firstLineChars="200"/>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压差旁通阀</w:t>
            </w:r>
          </w:p>
        </w:tc>
        <w:tc>
          <w:tcPr>
            <w:tcW w:w="3600" w:type="dxa"/>
            <w:vMerge w:val="continue"/>
            <w:tcBorders>
              <w:left w:val="single" w:color="000000" w:sz="4" w:space="0"/>
              <w:bottom w:val="single" w:color="000000" w:sz="4" w:space="0"/>
              <w:right w:val="single" w:color="000000" w:sz="4" w:space="0"/>
            </w:tcBorders>
            <w:noWrap/>
            <w:vAlign w:val="center"/>
          </w:tcPr>
          <w:p w14:paraId="58F8D15B">
            <w:pPr>
              <w:jc w:val="left"/>
              <w:rPr>
                <w:rFonts w:hint="eastAsia" w:ascii="宋体" w:hAnsi="宋体" w:cs="宋体"/>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66F8D6F">
            <w:pPr>
              <w:widowControl/>
              <w:ind w:firstLine="440" w:firstLineChars="200"/>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03F47B92">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只</w:t>
            </w:r>
          </w:p>
        </w:tc>
      </w:tr>
      <w:tr w14:paraId="7F0765E3">
        <w:tblPrEx>
          <w:tblCellMar>
            <w:top w:w="0" w:type="dxa"/>
            <w:left w:w="108" w:type="dxa"/>
            <w:bottom w:w="0" w:type="dxa"/>
            <w:right w:w="108"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767FD8B3">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13</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298D581D">
            <w:pPr>
              <w:jc w:val="center"/>
              <w:rPr>
                <w:rFonts w:hint="eastAsia" w:ascii="宋体" w:hAnsi="宋体" w:cs="宋体"/>
                <w:color w:val="000000"/>
                <w:sz w:val="22"/>
              </w:rPr>
            </w:pP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229592A6">
            <w:pPr>
              <w:widowControl/>
              <w:ind w:firstLine="440" w:firstLineChars="200"/>
              <w:jc w:val="center"/>
              <w:textAlignment w:val="center"/>
              <w:rPr>
                <w:rFonts w:hint="eastAsia" w:ascii="宋体" w:hAnsi="宋体" w:cs="宋体"/>
                <w:color w:val="000000"/>
                <w:sz w:val="22"/>
              </w:rPr>
            </w:pPr>
            <w:r>
              <w:rPr>
                <w:rFonts w:hint="eastAsia" w:ascii="宋体" w:hAnsi="宋体" w:cs="宋体"/>
                <w:color w:val="000000"/>
                <w:kern w:val="0"/>
                <w:sz w:val="22"/>
                <w:lang w:bidi="ar"/>
              </w:rPr>
              <w:t>智能电表+配套互感器</w:t>
            </w:r>
          </w:p>
        </w:tc>
        <w:tc>
          <w:tcPr>
            <w:tcW w:w="3600" w:type="dxa"/>
            <w:tcBorders>
              <w:top w:val="single" w:color="000000" w:sz="4" w:space="0"/>
              <w:left w:val="single" w:color="000000" w:sz="4" w:space="0"/>
              <w:bottom w:val="single" w:color="000000" w:sz="4" w:space="0"/>
              <w:right w:val="single" w:color="000000" w:sz="4" w:space="0"/>
            </w:tcBorders>
            <w:noWrap/>
            <w:vAlign w:val="center"/>
          </w:tcPr>
          <w:p w14:paraId="4B3E5D31">
            <w:pPr>
              <w:numPr>
                <w:ilvl w:val="0"/>
                <w:numId w:val="3"/>
              </w:numPr>
              <w:jc w:val="left"/>
              <w:rPr>
                <w:rFonts w:hint="eastAsia" w:ascii="宋体" w:hAnsi="宋体" w:cs="宋体"/>
                <w:szCs w:val="21"/>
              </w:rPr>
            </w:pPr>
            <w:r>
              <w:rPr>
                <w:rFonts w:hint="eastAsia" w:ascii="宋体" w:hAnsi="宋体" w:cs="宋体"/>
                <w:color w:val="000000"/>
                <w:sz w:val="22"/>
              </w:rPr>
              <w:t>规格参数：</w:t>
            </w:r>
            <w:r>
              <w:rPr>
                <w:rFonts w:hint="eastAsia" w:ascii="宋体" w:hAnsi="宋体" w:cs="宋体"/>
                <w:szCs w:val="21"/>
              </w:rPr>
              <w:t>满足改造要求选型；</w:t>
            </w:r>
          </w:p>
          <w:p w14:paraId="06D7BC0E">
            <w:pPr>
              <w:numPr>
                <w:ilvl w:val="255"/>
                <w:numId w:val="0"/>
              </w:numPr>
              <w:jc w:val="left"/>
              <w:rPr>
                <w:rFonts w:hint="eastAsia" w:ascii="宋体" w:hAnsi="宋体" w:cs="宋体"/>
                <w:color w:val="000000"/>
                <w:sz w:val="22"/>
              </w:rPr>
            </w:pPr>
            <w:r>
              <w:rPr>
                <w:rFonts w:hint="eastAsia" w:ascii="宋体" w:hAnsi="宋体" w:cs="宋体"/>
                <w:szCs w:val="21"/>
              </w:rPr>
              <w:t>2、品牌要求：</w:t>
            </w:r>
            <w:r>
              <w:rPr>
                <w:rFonts w:hint="eastAsia" w:ascii="宋体" w:hAnsi="宋体" w:cs="宋体"/>
                <w:color w:val="000000"/>
                <w:sz w:val="22"/>
              </w:rPr>
              <w:t>安科瑞/正泰/德力西</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0A97BF2">
            <w:pPr>
              <w:widowControl/>
              <w:ind w:firstLine="440" w:firstLineChars="200"/>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5954F29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台</w:t>
            </w:r>
          </w:p>
        </w:tc>
      </w:tr>
      <w:tr w14:paraId="5A0DA6F5">
        <w:tblPrEx>
          <w:tblCellMar>
            <w:top w:w="0" w:type="dxa"/>
            <w:left w:w="108" w:type="dxa"/>
            <w:bottom w:w="0" w:type="dxa"/>
            <w:right w:w="108" w:type="dxa"/>
          </w:tblCellMar>
        </w:tblPrEx>
        <w:trPr>
          <w:trHeight w:val="36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0978CB75">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14</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7CBE235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设备</w:t>
            </w: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2B32B7B6">
            <w:pPr>
              <w:widowControl/>
              <w:ind w:firstLine="440" w:firstLineChars="200"/>
              <w:jc w:val="center"/>
              <w:textAlignment w:val="center"/>
              <w:rPr>
                <w:rFonts w:hint="eastAsia" w:ascii="宋体" w:hAnsi="宋体" w:cs="宋体"/>
                <w:color w:val="000000"/>
                <w:sz w:val="22"/>
              </w:rPr>
            </w:pPr>
            <w:r>
              <w:rPr>
                <w:rFonts w:hint="eastAsia" w:ascii="宋体" w:hAnsi="宋体" w:cs="宋体"/>
                <w:color w:val="000000"/>
                <w:kern w:val="0"/>
                <w:sz w:val="22"/>
                <w:lang w:bidi="ar"/>
              </w:rPr>
              <w:t>风冷热泵主机</w:t>
            </w:r>
          </w:p>
        </w:tc>
        <w:tc>
          <w:tcPr>
            <w:tcW w:w="3600" w:type="dxa"/>
            <w:tcBorders>
              <w:top w:val="single" w:color="000000" w:sz="4" w:space="0"/>
              <w:left w:val="single" w:color="000000" w:sz="4" w:space="0"/>
              <w:bottom w:val="single" w:color="000000" w:sz="4" w:space="0"/>
              <w:right w:val="single" w:color="000000" w:sz="4" w:space="0"/>
            </w:tcBorders>
            <w:noWrap/>
            <w:vAlign w:val="center"/>
          </w:tcPr>
          <w:p w14:paraId="7D21557A">
            <w:pPr>
              <w:widowControl/>
              <w:numPr>
                <w:ilvl w:val="0"/>
                <w:numId w:val="4"/>
              </w:numPr>
              <w:jc w:val="left"/>
              <w:textAlignment w:val="center"/>
              <w:rPr>
                <w:rFonts w:hint="eastAsia" w:ascii="宋体" w:hAnsi="宋体" w:cs="宋体"/>
                <w:szCs w:val="21"/>
              </w:rPr>
            </w:pPr>
            <w:r>
              <w:rPr>
                <w:rFonts w:hint="eastAsia" w:ascii="宋体" w:hAnsi="宋体" w:cs="宋体"/>
                <w:szCs w:val="21"/>
              </w:rPr>
              <w:t>规格参数：满足改造要求选型，一级能效，噪音低于70Dba；</w:t>
            </w:r>
          </w:p>
          <w:p w14:paraId="22DA2845">
            <w:pPr>
              <w:widowControl/>
              <w:numPr>
                <w:ilvl w:val="0"/>
                <w:numId w:val="4"/>
              </w:numPr>
              <w:jc w:val="left"/>
              <w:textAlignment w:val="center"/>
              <w:rPr>
                <w:rFonts w:hint="eastAsia" w:ascii="宋体" w:hAnsi="宋体" w:cs="宋体"/>
                <w:szCs w:val="21"/>
              </w:rPr>
            </w:pPr>
            <w:r>
              <w:rPr>
                <w:rFonts w:hint="eastAsia" w:ascii="宋体" w:hAnsi="宋体" w:cs="宋体"/>
                <w:szCs w:val="21"/>
              </w:rPr>
              <w:t>品牌要求：约克/特灵/麦克维尔；</w:t>
            </w:r>
          </w:p>
          <w:p w14:paraId="1AD6B0F0">
            <w:pPr>
              <w:widowControl/>
              <w:numPr>
                <w:ilvl w:val="0"/>
                <w:numId w:val="4"/>
              </w:numPr>
              <w:jc w:val="left"/>
              <w:textAlignment w:val="center"/>
              <w:rPr>
                <w:rFonts w:hint="eastAsia" w:ascii="宋体" w:hAnsi="宋体" w:cs="宋体"/>
                <w:szCs w:val="21"/>
              </w:rPr>
            </w:pPr>
            <w:r>
              <w:rPr>
                <w:rFonts w:hint="eastAsia" w:ascii="宋体" w:hAnsi="宋体" w:cs="宋体"/>
                <w:szCs w:val="21"/>
                <w:lang w:val="en-US" w:eastAsia="zh-CN"/>
              </w:rPr>
              <w:t>其它要求：需配建主机槽钢或混凝土底座，并依据主机设备质量设置弹簧减震，不可破坏建筑防水；</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5266D4C">
            <w:pPr>
              <w:widowControl/>
              <w:ind w:firstLine="440" w:firstLineChars="200"/>
              <w:textAlignment w:val="center"/>
              <w:rPr>
                <w:rFonts w:hint="eastAsia" w:ascii="宋体" w:hAnsi="宋体" w:cs="宋体"/>
                <w:color w:val="000000"/>
                <w:sz w:val="22"/>
              </w:rPr>
            </w:pPr>
            <w:r>
              <w:rPr>
                <w:rFonts w:hint="eastAsia" w:ascii="宋体" w:hAnsi="宋体" w:cs="宋体"/>
                <w:color w:val="000000"/>
                <w:sz w:val="22"/>
              </w:rPr>
              <w:t>1</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40837175">
            <w:pPr>
              <w:widowControl/>
              <w:jc w:val="center"/>
              <w:textAlignment w:val="center"/>
              <w:rPr>
                <w:rFonts w:hint="eastAsia" w:ascii="宋体" w:hAnsi="宋体" w:cs="宋体"/>
                <w:color w:val="000000"/>
                <w:sz w:val="22"/>
              </w:rPr>
            </w:pPr>
            <w:r>
              <w:rPr>
                <w:rFonts w:hint="eastAsia" w:ascii="宋体" w:hAnsi="宋体" w:cs="宋体"/>
                <w:color w:val="000000"/>
                <w:sz w:val="22"/>
              </w:rPr>
              <w:t>台</w:t>
            </w:r>
          </w:p>
        </w:tc>
      </w:tr>
      <w:tr w14:paraId="7F1896A6">
        <w:tblPrEx>
          <w:tblCellMar>
            <w:top w:w="0" w:type="dxa"/>
            <w:left w:w="108" w:type="dxa"/>
            <w:bottom w:w="0" w:type="dxa"/>
            <w:right w:w="108" w:type="dxa"/>
          </w:tblCellMar>
        </w:tblPrEx>
        <w:trPr>
          <w:trHeight w:val="36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283875D5">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15</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5DE277FF">
            <w:pPr>
              <w:jc w:val="center"/>
              <w:rPr>
                <w:rFonts w:hint="eastAsia" w:ascii="宋体" w:hAnsi="宋体" w:cs="宋体"/>
                <w:color w:val="000000"/>
                <w:sz w:val="22"/>
              </w:rPr>
            </w:pP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7B6651D0">
            <w:pPr>
              <w:widowControl/>
              <w:ind w:firstLine="440" w:firstLineChars="200"/>
              <w:jc w:val="center"/>
              <w:textAlignment w:val="center"/>
              <w:rPr>
                <w:rFonts w:hint="eastAsia" w:ascii="宋体" w:hAnsi="宋体" w:cs="宋体"/>
                <w:color w:val="000000"/>
                <w:sz w:val="22"/>
              </w:rPr>
            </w:pPr>
            <w:r>
              <w:rPr>
                <w:rFonts w:hint="eastAsia" w:ascii="宋体" w:hAnsi="宋体" w:cs="宋体"/>
                <w:color w:val="000000"/>
                <w:kern w:val="0"/>
                <w:sz w:val="22"/>
                <w:lang w:bidi="ar"/>
              </w:rPr>
              <w:t>不锈钢缓冲水箱</w:t>
            </w:r>
          </w:p>
        </w:tc>
        <w:tc>
          <w:tcPr>
            <w:tcW w:w="3600" w:type="dxa"/>
            <w:tcBorders>
              <w:top w:val="single" w:color="000000" w:sz="4" w:space="0"/>
              <w:left w:val="single" w:color="000000" w:sz="4" w:space="0"/>
              <w:bottom w:val="single" w:color="000000" w:sz="4" w:space="0"/>
              <w:right w:val="single" w:color="000000" w:sz="4" w:space="0"/>
            </w:tcBorders>
            <w:noWrap/>
            <w:vAlign w:val="center"/>
          </w:tcPr>
          <w:p w14:paraId="28CC6B76">
            <w:pPr>
              <w:widowControl/>
              <w:numPr>
                <w:ilvl w:val="0"/>
                <w:numId w:val="5"/>
              </w:numPr>
              <w:jc w:val="left"/>
              <w:textAlignment w:val="center"/>
              <w:rPr>
                <w:rFonts w:hint="eastAsia" w:ascii="宋体" w:hAnsi="宋体" w:cs="宋体"/>
                <w:color w:val="auto"/>
                <w:sz w:val="21"/>
                <w:szCs w:val="21"/>
              </w:rPr>
            </w:pPr>
            <w:r>
              <w:rPr>
                <w:rFonts w:hint="eastAsia" w:ascii="宋体" w:hAnsi="宋体" w:cs="宋体"/>
                <w:color w:val="auto"/>
                <w:sz w:val="21"/>
                <w:szCs w:val="21"/>
              </w:rPr>
              <w:t>规格参数：容量400L、材质SU304、壁厚≥1.0mm；</w:t>
            </w:r>
          </w:p>
          <w:p w14:paraId="2FBEDC6F">
            <w:pPr>
              <w:widowControl/>
              <w:numPr>
                <w:ilvl w:val="0"/>
                <w:numId w:val="5"/>
              </w:numPr>
              <w:jc w:val="left"/>
              <w:textAlignment w:val="center"/>
              <w:rPr>
                <w:rFonts w:hint="eastAsia" w:ascii="宋体" w:hAnsi="宋体" w:cs="宋体"/>
                <w:color w:val="000000"/>
                <w:sz w:val="22"/>
              </w:rPr>
            </w:pPr>
            <w:r>
              <w:rPr>
                <w:rFonts w:hint="eastAsia" w:ascii="宋体" w:hAnsi="宋体" w:cs="宋体"/>
                <w:color w:val="auto"/>
                <w:sz w:val="21"/>
                <w:szCs w:val="21"/>
              </w:rPr>
              <w:t>品牌要求：国优；</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2C48529">
            <w:pPr>
              <w:widowControl/>
              <w:ind w:firstLine="440" w:firstLineChars="200"/>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6E36CBE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台</w:t>
            </w:r>
          </w:p>
        </w:tc>
      </w:tr>
      <w:tr w14:paraId="06CD0A9D">
        <w:tblPrEx>
          <w:tblCellMar>
            <w:top w:w="0" w:type="dxa"/>
            <w:left w:w="108" w:type="dxa"/>
            <w:bottom w:w="0" w:type="dxa"/>
            <w:right w:w="108"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6138ECFC">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16</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1D9A47A">
            <w:pPr>
              <w:jc w:val="center"/>
              <w:rPr>
                <w:rFonts w:hint="eastAsia" w:ascii="宋体" w:hAnsi="宋体" w:cs="宋体"/>
                <w:color w:val="000000"/>
                <w:sz w:val="22"/>
              </w:rPr>
            </w:pP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31BB7E2F">
            <w:pPr>
              <w:widowControl/>
              <w:ind w:firstLine="440" w:firstLineChars="200"/>
              <w:jc w:val="center"/>
              <w:textAlignment w:val="center"/>
              <w:rPr>
                <w:rFonts w:hint="eastAsia" w:ascii="宋体" w:hAnsi="宋体" w:cs="宋体"/>
                <w:color w:val="000000"/>
                <w:sz w:val="22"/>
              </w:rPr>
            </w:pPr>
            <w:r>
              <w:rPr>
                <w:rFonts w:hint="eastAsia" w:ascii="宋体" w:hAnsi="宋体" w:cs="宋体"/>
                <w:color w:val="000000"/>
                <w:kern w:val="0"/>
                <w:sz w:val="22"/>
                <w:lang w:bidi="ar"/>
              </w:rPr>
              <w:t>循环水泵</w:t>
            </w:r>
          </w:p>
        </w:tc>
        <w:tc>
          <w:tcPr>
            <w:tcW w:w="3600" w:type="dxa"/>
            <w:tcBorders>
              <w:top w:val="single" w:color="000000" w:sz="4" w:space="0"/>
              <w:left w:val="single" w:color="000000" w:sz="4" w:space="0"/>
              <w:bottom w:val="single" w:color="000000" w:sz="4" w:space="0"/>
              <w:right w:val="single" w:color="000000" w:sz="4" w:space="0"/>
            </w:tcBorders>
            <w:noWrap/>
            <w:vAlign w:val="center"/>
          </w:tcPr>
          <w:p w14:paraId="5911FD2A">
            <w:pPr>
              <w:widowControl/>
              <w:numPr>
                <w:ilvl w:val="255"/>
                <w:numId w:val="0"/>
              </w:numPr>
              <w:jc w:val="left"/>
              <w:textAlignment w:val="center"/>
              <w:rPr>
                <w:rFonts w:hint="eastAsia" w:ascii="宋体" w:hAnsi="宋体" w:cs="宋体"/>
                <w:szCs w:val="21"/>
              </w:rPr>
            </w:pPr>
            <w:r>
              <w:rPr>
                <w:rFonts w:hint="eastAsia" w:ascii="宋体" w:hAnsi="宋体" w:cs="宋体"/>
                <w:szCs w:val="21"/>
              </w:rPr>
              <w:t>1、规格参数：满足改造要求选型，二级及以上能效，噪音低于70Dba；</w:t>
            </w:r>
          </w:p>
          <w:p w14:paraId="1F45544B">
            <w:pPr>
              <w:widowControl/>
              <w:numPr>
                <w:ilvl w:val="255"/>
                <w:numId w:val="0"/>
              </w:numPr>
              <w:jc w:val="left"/>
              <w:textAlignment w:val="center"/>
              <w:rPr>
                <w:rFonts w:hint="eastAsia" w:ascii="宋体" w:hAnsi="宋体" w:cs="宋体"/>
                <w:szCs w:val="21"/>
              </w:rPr>
            </w:pPr>
            <w:r>
              <w:rPr>
                <w:rFonts w:hint="eastAsia" w:ascii="宋体" w:hAnsi="宋体" w:cs="宋体"/>
                <w:szCs w:val="21"/>
              </w:rPr>
              <w:t>2、品牌要求：威乐/格兰富/赛莱默；</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2466C22">
            <w:pPr>
              <w:widowControl/>
              <w:ind w:firstLine="440" w:firstLineChars="200"/>
              <w:textAlignment w:val="center"/>
              <w:rPr>
                <w:rFonts w:hint="eastAsia" w:ascii="宋体" w:hAnsi="宋体" w:cs="宋体"/>
                <w:color w:val="000000"/>
                <w:sz w:val="22"/>
              </w:rPr>
            </w:pPr>
            <w:r>
              <w:rPr>
                <w:rFonts w:hint="eastAsia" w:ascii="宋体" w:hAnsi="宋体" w:cs="宋体"/>
                <w:color w:val="000000"/>
                <w:kern w:val="0"/>
                <w:sz w:val="22"/>
                <w:lang w:bidi="ar"/>
              </w:rPr>
              <w:t>2</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2E1DCDD8">
            <w:pPr>
              <w:widowControl/>
              <w:jc w:val="center"/>
              <w:textAlignment w:val="center"/>
              <w:rPr>
                <w:rFonts w:hint="eastAsia" w:ascii="宋体" w:hAnsi="宋体" w:cs="宋体"/>
                <w:color w:val="000000"/>
                <w:sz w:val="22"/>
              </w:rPr>
            </w:pPr>
            <w:r>
              <w:rPr>
                <w:rFonts w:hint="eastAsia" w:ascii="宋体" w:hAnsi="宋体" w:cs="宋体"/>
                <w:color w:val="000000"/>
                <w:sz w:val="22"/>
              </w:rPr>
              <w:t>台</w:t>
            </w:r>
          </w:p>
        </w:tc>
      </w:tr>
      <w:tr w14:paraId="34567BB8">
        <w:tblPrEx>
          <w:tblCellMar>
            <w:top w:w="0" w:type="dxa"/>
            <w:left w:w="108" w:type="dxa"/>
            <w:bottom w:w="0" w:type="dxa"/>
            <w:right w:w="108" w:type="dxa"/>
          </w:tblCellMar>
        </w:tblPrEx>
        <w:trPr>
          <w:trHeight w:val="36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15965150">
            <w:pPr>
              <w:widowControl/>
              <w:jc w:val="center"/>
              <w:textAlignment w:val="center"/>
              <w:rPr>
                <w:rFonts w:hint="eastAsia" w:ascii="宋体" w:hAnsi="宋体" w:cs="宋体"/>
                <w:b/>
                <w:bCs/>
                <w:color w:val="000000"/>
                <w:sz w:val="22"/>
              </w:rPr>
            </w:pPr>
            <w:r>
              <w:rPr>
                <w:rFonts w:hint="eastAsia" w:ascii="宋体" w:hAnsi="宋体" w:cs="宋体"/>
                <w:b/>
                <w:bCs/>
                <w:color w:val="000000"/>
                <w:sz w:val="22"/>
              </w:rPr>
              <w:t>17</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2264CA22">
            <w:pPr>
              <w:jc w:val="center"/>
              <w:rPr>
                <w:rFonts w:hint="eastAsia" w:ascii="宋体" w:hAnsi="宋体" w:cs="宋体"/>
                <w:color w:val="000000"/>
                <w:sz w:val="22"/>
              </w:rPr>
            </w:pP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17CF68DE">
            <w:pPr>
              <w:widowControl/>
              <w:ind w:firstLine="440" w:firstLineChars="200"/>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表冷段</w:t>
            </w:r>
          </w:p>
        </w:tc>
        <w:tc>
          <w:tcPr>
            <w:tcW w:w="3600" w:type="dxa"/>
            <w:tcBorders>
              <w:top w:val="single" w:color="000000" w:sz="4" w:space="0"/>
              <w:left w:val="single" w:color="000000" w:sz="4" w:space="0"/>
              <w:bottom w:val="single" w:color="000000" w:sz="4" w:space="0"/>
              <w:right w:val="single" w:color="000000" w:sz="4" w:space="0"/>
            </w:tcBorders>
            <w:noWrap/>
            <w:vAlign w:val="center"/>
          </w:tcPr>
          <w:p w14:paraId="22653E2C">
            <w:pPr>
              <w:widowControl/>
              <w:numPr>
                <w:ilvl w:val="255"/>
                <w:numId w:val="0"/>
              </w:numPr>
              <w:jc w:val="left"/>
              <w:textAlignment w:val="center"/>
              <w:rPr>
                <w:rFonts w:hint="eastAsia" w:ascii="宋体" w:hAnsi="宋体" w:cs="宋体"/>
                <w:szCs w:val="21"/>
              </w:rPr>
            </w:pPr>
            <w:r>
              <w:rPr>
                <w:rFonts w:hint="eastAsia" w:ascii="宋体" w:hAnsi="宋体" w:cs="宋体"/>
                <w:szCs w:val="21"/>
              </w:rPr>
              <w:t>1、规格参数：满足改造要求选型；</w:t>
            </w:r>
          </w:p>
          <w:p w14:paraId="24F1AB04">
            <w:pPr>
              <w:widowControl/>
              <w:jc w:val="left"/>
              <w:textAlignment w:val="center"/>
              <w:rPr>
                <w:rFonts w:hint="eastAsia" w:ascii="宋体" w:hAnsi="宋体" w:cs="宋体"/>
                <w:color w:val="000000"/>
                <w:kern w:val="0"/>
                <w:sz w:val="22"/>
                <w:lang w:bidi="ar"/>
              </w:rPr>
            </w:pPr>
            <w:r>
              <w:rPr>
                <w:rFonts w:hint="eastAsia" w:ascii="宋体" w:hAnsi="宋体" w:cs="宋体"/>
                <w:szCs w:val="21"/>
              </w:rPr>
              <w:t>2、品牌要求：国优；</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DD06F95">
            <w:pPr>
              <w:widowControl/>
              <w:ind w:firstLine="440" w:firstLineChars="200"/>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71220983">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台</w:t>
            </w:r>
          </w:p>
        </w:tc>
      </w:tr>
      <w:tr w14:paraId="315310BA">
        <w:tblPrEx>
          <w:tblCellMar>
            <w:top w:w="0" w:type="dxa"/>
            <w:left w:w="108" w:type="dxa"/>
            <w:bottom w:w="0" w:type="dxa"/>
            <w:right w:w="108" w:type="dxa"/>
          </w:tblCellMar>
        </w:tblPrEx>
        <w:trPr>
          <w:trHeight w:val="36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3D118862">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18</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3AAA3F36">
            <w:pPr>
              <w:jc w:val="center"/>
              <w:rPr>
                <w:rFonts w:hint="eastAsia" w:ascii="宋体" w:hAnsi="宋体" w:cs="宋体"/>
                <w:color w:val="000000"/>
                <w:sz w:val="22"/>
              </w:rPr>
            </w:pP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1B728A7E">
            <w:pPr>
              <w:widowControl/>
              <w:ind w:firstLine="440" w:firstLineChars="200"/>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过滤段</w:t>
            </w:r>
          </w:p>
        </w:tc>
        <w:tc>
          <w:tcPr>
            <w:tcW w:w="3600" w:type="dxa"/>
            <w:tcBorders>
              <w:top w:val="single" w:color="000000" w:sz="4" w:space="0"/>
              <w:left w:val="single" w:color="000000" w:sz="4" w:space="0"/>
              <w:bottom w:val="single" w:color="000000" w:sz="4" w:space="0"/>
              <w:right w:val="single" w:color="000000" w:sz="4" w:space="0"/>
            </w:tcBorders>
            <w:noWrap/>
            <w:vAlign w:val="center"/>
          </w:tcPr>
          <w:p w14:paraId="032320A6">
            <w:pPr>
              <w:widowControl/>
              <w:numPr>
                <w:ilvl w:val="0"/>
                <w:numId w:val="6"/>
              </w:numPr>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规格参数：初效G4；</w:t>
            </w:r>
          </w:p>
          <w:p w14:paraId="24BD329D">
            <w:pPr>
              <w:widowControl/>
              <w:numPr>
                <w:ilvl w:val="0"/>
                <w:numId w:val="6"/>
              </w:numPr>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品牌要求：国优；</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C3F956F">
            <w:pPr>
              <w:widowControl/>
              <w:ind w:firstLine="440" w:firstLineChars="200"/>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3A161D43">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台</w:t>
            </w:r>
          </w:p>
        </w:tc>
      </w:tr>
      <w:tr w14:paraId="6F71F17C">
        <w:tblPrEx>
          <w:tblCellMar>
            <w:top w:w="0" w:type="dxa"/>
            <w:left w:w="108" w:type="dxa"/>
            <w:bottom w:w="0" w:type="dxa"/>
            <w:right w:w="108" w:type="dxa"/>
          </w:tblCellMar>
        </w:tblPrEx>
        <w:trPr>
          <w:trHeight w:val="36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2C4ADE37">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19</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F114210">
            <w:pPr>
              <w:jc w:val="center"/>
              <w:rPr>
                <w:rFonts w:hint="eastAsia" w:ascii="宋体" w:hAnsi="宋体" w:cs="宋体"/>
                <w:color w:val="000000"/>
                <w:sz w:val="22"/>
              </w:rPr>
            </w:pP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3767E05B">
            <w:pPr>
              <w:widowControl/>
              <w:ind w:firstLine="440" w:firstLineChars="200"/>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触摸屏</w:t>
            </w:r>
          </w:p>
        </w:tc>
        <w:tc>
          <w:tcPr>
            <w:tcW w:w="3600" w:type="dxa"/>
            <w:tcBorders>
              <w:top w:val="single" w:color="000000" w:sz="4" w:space="0"/>
              <w:left w:val="single" w:color="000000" w:sz="4" w:space="0"/>
              <w:bottom w:val="single" w:color="000000" w:sz="4" w:space="0"/>
              <w:right w:val="single" w:color="000000" w:sz="4" w:space="0"/>
            </w:tcBorders>
            <w:noWrap/>
            <w:vAlign w:val="center"/>
          </w:tcPr>
          <w:p w14:paraId="76E7396B">
            <w:pPr>
              <w:widowControl/>
              <w:numPr>
                <w:ilvl w:val="255"/>
                <w:numId w:val="0"/>
              </w:numPr>
              <w:jc w:val="left"/>
              <w:textAlignment w:val="center"/>
              <w:rPr>
                <w:rFonts w:hint="eastAsia" w:ascii="宋体" w:hAnsi="宋体" w:cs="宋体"/>
                <w:szCs w:val="21"/>
              </w:rPr>
            </w:pPr>
            <w:r>
              <w:rPr>
                <w:rFonts w:hint="eastAsia" w:ascii="宋体" w:hAnsi="宋体" w:cs="宋体"/>
                <w:szCs w:val="21"/>
              </w:rPr>
              <w:t>1、规格参数：满足改造要求选型；</w:t>
            </w:r>
          </w:p>
          <w:p w14:paraId="09ABBAF5">
            <w:pPr>
              <w:widowControl/>
              <w:jc w:val="left"/>
              <w:textAlignment w:val="center"/>
              <w:rPr>
                <w:rFonts w:hint="eastAsia" w:ascii="宋体" w:hAnsi="宋体" w:cs="宋体"/>
                <w:color w:val="000000"/>
                <w:kern w:val="0"/>
                <w:sz w:val="22"/>
                <w:lang w:bidi="ar"/>
              </w:rPr>
            </w:pPr>
            <w:r>
              <w:rPr>
                <w:rFonts w:hint="eastAsia" w:ascii="宋体" w:hAnsi="宋体" w:cs="宋体"/>
                <w:szCs w:val="21"/>
              </w:rPr>
              <w:t>2、品牌要求：国优；</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5EE2244">
            <w:pPr>
              <w:widowControl/>
              <w:ind w:firstLine="440" w:firstLineChars="200"/>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230BA592">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台</w:t>
            </w:r>
          </w:p>
        </w:tc>
      </w:tr>
      <w:tr w14:paraId="07BEAC23">
        <w:tblPrEx>
          <w:tblCellMar>
            <w:top w:w="0" w:type="dxa"/>
            <w:left w:w="108" w:type="dxa"/>
            <w:bottom w:w="0" w:type="dxa"/>
            <w:right w:w="108" w:type="dxa"/>
          </w:tblCellMar>
        </w:tblPrEx>
        <w:trPr>
          <w:trHeight w:val="36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4F7362FF">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20</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1221C196">
            <w:pPr>
              <w:jc w:val="center"/>
              <w:rPr>
                <w:rFonts w:hint="eastAsia" w:ascii="宋体" w:hAnsi="宋体" w:cs="宋体"/>
                <w:color w:val="000000"/>
                <w:sz w:val="22"/>
              </w:rPr>
            </w:pP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719A0BE4">
            <w:pPr>
              <w:widowControl/>
              <w:ind w:firstLine="440" w:firstLineChars="200"/>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控制面板</w:t>
            </w:r>
          </w:p>
        </w:tc>
        <w:tc>
          <w:tcPr>
            <w:tcW w:w="3600" w:type="dxa"/>
            <w:tcBorders>
              <w:top w:val="single" w:color="000000" w:sz="4" w:space="0"/>
              <w:left w:val="single" w:color="000000" w:sz="4" w:space="0"/>
              <w:bottom w:val="single" w:color="000000" w:sz="4" w:space="0"/>
              <w:right w:val="single" w:color="000000" w:sz="4" w:space="0"/>
            </w:tcBorders>
            <w:noWrap/>
            <w:vAlign w:val="center"/>
          </w:tcPr>
          <w:p w14:paraId="61F502A4">
            <w:pPr>
              <w:widowControl/>
              <w:numPr>
                <w:ilvl w:val="255"/>
                <w:numId w:val="0"/>
              </w:numPr>
              <w:jc w:val="left"/>
              <w:textAlignment w:val="center"/>
              <w:rPr>
                <w:rFonts w:hint="eastAsia" w:ascii="宋体" w:hAnsi="宋体" w:cs="宋体"/>
                <w:szCs w:val="21"/>
              </w:rPr>
            </w:pPr>
            <w:r>
              <w:rPr>
                <w:rFonts w:hint="eastAsia" w:ascii="宋体" w:hAnsi="宋体" w:cs="宋体"/>
                <w:szCs w:val="21"/>
              </w:rPr>
              <w:t>1、规格参数：满足改造要求选型；</w:t>
            </w:r>
          </w:p>
          <w:p w14:paraId="7869E0AD">
            <w:pPr>
              <w:widowControl/>
              <w:jc w:val="left"/>
              <w:textAlignment w:val="center"/>
              <w:rPr>
                <w:rFonts w:hint="eastAsia" w:ascii="宋体" w:hAnsi="宋体" w:cs="宋体"/>
                <w:color w:val="000000"/>
                <w:kern w:val="0"/>
                <w:sz w:val="22"/>
                <w:lang w:bidi="ar"/>
              </w:rPr>
            </w:pPr>
            <w:r>
              <w:rPr>
                <w:rFonts w:hint="eastAsia" w:ascii="宋体" w:hAnsi="宋体" w:cs="宋体"/>
                <w:szCs w:val="21"/>
              </w:rPr>
              <w:t>2、品牌要求：国优；</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EFC6364">
            <w:pPr>
              <w:widowControl/>
              <w:ind w:firstLine="440" w:firstLineChars="200"/>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423001B6">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只</w:t>
            </w:r>
          </w:p>
        </w:tc>
      </w:tr>
      <w:tr w14:paraId="55335E65">
        <w:tblPrEx>
          <w:tblCellMar>
            <w:top w:w="0" w:type="dxa"/>
            <w:left w:w="108" w:type="dxa"/>
            <w:bottom w:w="0" w:type="dxa"/>
            <w:right w:w="108" w:type="dxa"/>
          </w:tblCellMar>
        </w:tblPrEx>
        <w:trPr>
          <w:trHeight w:val="36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3DD449E9">
            <w:pPr>
              <w:widowControl/>
              <w:jc w:val="center"/>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21</w:t>
            </w:r>
          </w:p>
        </w:tc>
        <w:tc>
          <w:tcPr>
            <w:tcW w:w="1324" w:type="dxa"/>
            <w:vMerge w:val="restart"/>
            <w:tcBorders>
              <w:top w:val="single" w:color="000000" w:sz="4" w:space="0"/>
              <w:left w:val="single" w:color="000000" w:sz="4" w:space="0"/>
              <w:right w:val="single" w:color="000000" w:sz="4" w:space="0"/>
            </w:tcBorders>
            <w:noWrap/>
            <w:vAlign w:val="center"/>
          </w:tcPr>
          <w:p w14:paraId="524B7E08">
            <w:pPr>
              <w:jc w:val="center"/>
              <w:rPr>
                <w:rFonts w:hint="eastAsia" w:ascii="宋体" w:hAnsi="宋体" w:cs="宋体"/>
                <w:color w:val="000000"/>
                <w:sz w:val="22"/>
              </w:rPr>
            </w:pPr>
            <w:r>
              <w:rPr>
                <w:rFonts w:hint="eastAsia" w:ascii="宋体" w:hAnsi="宋体" w:cs="宋体"/>
                <w:color w:val="000000"/>
                <w:sz w:val="22"/>
              </w:rPr>
              <w:t>管道</w:t>
            </w: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25AFDC59">
            <w:pPr>
              <w:widowControl/>
              <w:ind w:firstLine="440" w:firstLineChars="200"/>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水管</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E2B7">
            <w:pPr>
              <w:widowControl/>
              <w:numPr>
                <w:ilvl w:val="255"/>
                <w:numId w:val="0"/>
              </w:numPr>
              <w:jc w:val="left"/>
              <w:textAlignment w:val="center"/>
              <w:rPr>
                <w:rFonts w:hint="eastAsia" w:ascii="宋体" w:hAnsi="宋体" w:cs="宋体"/>
                <w:szCs w:val="21"/>
              </w:rPr>
            </w:pPr>
            <w:r>
              <w:rPr>
                <w:rFonts w:hint="eastAsia" w:ascii="宋体" w:hAnsi="宋体" w:cs="宋体"/>
                <w:szCs w:val="21"/>
              </w:rPr>
              <w:t>1、规格参数：PPR材质，尺寸满足改造要求选型；</w:t>
            </w:r>
          </w:p>
          <w:p w14:paraId="15F38F98">
            <w:pPr>
              <w:widowControl/>
              <w:jc w:val="left"/>
              <w:textAlignment w:val="center"/>
              <w:rPr>
                <w:rFonts w:hint="eastAsia" w:ascii="宋体" w:hAnsi="宋体" w:cs="宋体"/>
                <w:szCs w:val="21"/>
              </w:rPr>
            </w:pPr>
            <w:r>
              <w:rPr>
                <w:rFonts w:hint="eastAsia" w:ascii="宋体" w:hAnsi="宋体" w:cs="宋体"/>
                <w:szCs w:val="21"/>
              </w:rPr>
              <w:t>2、品牌要求:日丰/联塑/金牛；</w:t>
            </w:r>
          </w:p>
          <w:p w14:paraId="6354432B">
            <w:pPr>
              <w:widowControl/>
              <w:jc w:val="left"/>
              <w:textAlignment w:val="center"/>
              <w:rPr>
                <w:rFonts w:hint="eastAsia" w:ascii="宋体" w:hAnsi="宋体" w:cs="宋体"/>
                <w:szCs w:val="21"/>
              </w:rPr>
            </w:pPr>
            <w:r>
              <w:rPr>
                <w:rFonts w:hint="eastAsia" w:ascii="宋体" w:hAnsi="宋体" w:cs="宋体"/>
                <w:szCs w:val="21"/>
              </w:rPr>
              <w:t>3、其它要求：管道保温采用30mm厚B1级橡塑保温，华美/杜肯/福乐斯</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FB791C3">
            <w:pPr>
              <w:widowControl/>
              <w:ind w:firstLine="0" w:firstLineChars="0"/>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若干</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268E088C">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米</w:t>
            </w:r>
          </w:p>
        </w:tc>
      </w:tr>
      <w:tr w14:paraId="5355210F">
        <w:tblPrEx>
          <w:tblCellMar>
            <w:top w:w="0" w:type="dxa"/>
            <w:left w:w="108" w:type="dxa"/>
            <w:bottom w:w="0" w:type="dxa"/>
            <w:right w:w="108" w:type="dxa"/>
          </w:tblCellMar>
        </w:tblPrEx>
        <w:trPr>
          <w:trHeight w:val="363" w:hRule="atLeast"/>
          <w:jc w:val="center"/>
        </w:trPr>
        <w:tc>
          <w:tcPr>
            <w:tcW w:w="644" w:type="dxa"/>
            <w:tcBorders>
              <w:top w:val="single" w:color="000000" w:sz="4" w:space="0"/>
              <w:left w:val="single" w:color="000000" w:sz="4" w:space="0"/>
              <w:bottom w:val="single" w:color="000000" w:sz="4" w:space="0"/>
              <w:right w:val="single" w:color="000000" w:sz="4" w:space="0"/>
            </w:tcBorders>
            <w:noWrap/>
            <w:vAlign w:val="center"/>
          </w:tcPr>
          <w:p w14:paraId="107DAE80">
            <w:pPr>
              <w:widowControl/>
              <w:jc w:val="center"/>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22</w:t>
            </w:r>
          </w:p>
        </w:tc>
        <w:tc>
          <w:tcPr>
            <w:tcW w:w="1324" w:type="dxa"/>
            <w:vMerge w:val="continue"/>
            <w:tcBorders>
              <w:left w:val="single" w:color="000000" w:sz="4" w:space="0"/>
              <w:bottom w:val="single" w:color="000000" w:sz="4" w:space="0"/>
              <w:right w:val="single" w:color="000000" w:sz="4" w:space="0"/>
            </w:tcBorders>
            <w:noWrap/>
            <w:vAlign w:val="center"/>
          </w:tcPr>
          <w:p w14:paraId="71F0CFDB">
            <w:pPr>
              <w:jc w:val="center"/>
              <w:rPr>
                <w:rFonts w:hint="eastAsia" w:ascii="宋体" w:hAnsi="宋体" w:cs="宋体"/>
                <w:color w:val="000000"/>
                <w:sz w:val="22"/>
              </w:rPr>
            </w:pPr>
          </w:p>
        </w:tc>
        <w:tc>
          <w:tcPr>
            <w:tcW w:w="2019" w:type="dxa"/>
            <w:tcBorders>
              <w:top w:val="single" w:color="000000" w:sz="4" w:space="0"/>
              <w:left w:val="single" w:color="000000" w:sz="4" w:space="0"/>
              <w:bottom w:val="single" w:color="000000" w:sz="4" w:space="0"/>
              <w:right w:val="single" w:color="000000" w:sz="4" w:space="0"/>
            </w:tcBorders>
            <w:noWrap/>
            <w:vAlign w:val="center"/>
          </w:tcPr>
          <w:p w14:paraId="2967FDEB">
            <w:pPr>
              <w:widowControl/>
              <w:ind w:firstLine="440" w:firstLineChars="200"/>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风管</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4A0F">
            <w:pPr>
              <w:widowControl/>
              <w:numPr>
                <w:ilvl w:val="255"/>
                <w:numId w:val="0"/>
              </w:numPr>
              <w:jc w:val="left"/>
              <w:textAlignment w:val="center"/>
              <w:rPr>
                <w:rFonts w:hint="eastAsia" w:ascii="宋体" w:hAnsi="宋体" w:cs="宋体"/>
                <w:szCs w:val="21"/>
              </w:rPr>
            </w:pPr>
            <w:r>
              <w:rPr>
                <w:rFonts w:hint="eastAsia" w:ascii="宋体" w:hAnsi="宋体" w:cs="宋体"/>
                <w:szCs w:val="21"/>
              </w:rPr>
              <w:t>1、规格参数：</w:t>
            </w:r>
            <w:r>
              <w:rPr>
                <w:rFonts w:hint="eastAsia" w:ascii="宋体" w:hAnsi="宋体" w:cs="宋体"/>
                <w:szCs w:val="21"/>
                <w:highlight w:val="cyan"/>
                <w:lang w:eastAsia="zh-CN"/>
              </w:rPr>
              <w:t>镀锌</w:t>
            </w:r>
            <w:r>
              <w:rPr>
                <w:rFonts w:hint="eastAsia" w:ascii="宋体" w:hAnsi="宋体" w:cs="宋体"/>
                <w:szCs w:val="21"/>
                <w:highlight w:val="cyan"/>
              </w:rPr>
              <w:t>风管</w:t>
            </w:r>
            <w:r>
              <w:rPr>
                <w:rFonts w:hint="eastAsia" w:ascii="宋体" w:hAnsi="宋体" w:cs="宋体"/>
                <w:szCs w:val="21"/>
              </w:rPr>
              <w:t>，尺寸满足改造要求选型；</w:t>
            </w:r>
          </w:p>
          <w:p w14:paraId="2D045026">
            <w:pPr>
              <w:widowControl/>
              <w:jc w:val="left"/>
              <w:textAlignment w:val="center"/>
              <w:rPr>
                <w:rFonts w:hint="eastAsia" w:ascii="宋体" w:hAnsi="宋体" w:cs="宋体"/>
                <w:szCs w:val="21"/>
              </w:rPr>
            </w:pPr>
            <w:r>
              <w:rPr>
                <w:rFonts w:hint="eastAsia" w:ascii="宋体" w:hAnsi="宋体" w:cs="宋体"/>
                <w:szCs w:val="21"/>
              </w:rPr>
              <w:t>2、品牌要求：国优；</w:t>
            </w:r>
          </w:p>
          <w:p w14:paraId="72EFA74E">
            <w:pPr>
              <w:widowControl/>
              <w:jc w:val="left"/>
              <w:textAlignment w:val="center"/>
              <w:rPr>
                <w:rFonts w:hint="eastAsia" w:ascii="宋体" w:hAnsi="宋体" w:cs="宋体"/>
                <w:szCs w:val="21"/>
              </w:rPr>
            </w:pPr>
            <w:r>
              <w:rPr>
                <w:rFonts w:hint="eastAsia" w:ascii="宋体" w:hAnsi="宋体" w:cs="宋体"/>
                <w:szCs w:val="21"/>
              </w:rPr>
              <w:t>3、其它要求：</w:t>
            </w:r>
            <w:r>
              <w:rPr>
                <w:rFonts w:hint="eastAsia" w:ascii="宋体" w:hAnsi="宋体" w:cs="宋体"/>
                <w:szCs w:val="21"/>
                <w:lang w:val="en-US" w:eastAsia="zh-CN"/>
              </w:rPr>
              <w:t>管道</w:t>
            </w:r>
            <w:r>
              <w:rPr>
                <w:rFonts w:hint="eastAsia" w:ascii="宋体" w:hAnsi="宋体" w:cs="宋体"/>
                <w:szCs w:val="21"/>
              </w:rPr>
              <w:t>保温采用30mm厚B1级橡塑保温，华美/杜肯/福乐斯</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0F78916">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若干</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34D114EC">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米</w:t>
            </w:r>
          </w:p>
        </w:tc>
      </w:tr>
    </w:tbl>
    <w:p w14:paraId="13630406">
      <w:pPr>
        <w:rPr>
          <w:rFonts w:hint="eastAsia" w:ascii="宋体" w:hAnsi="宋体"/>
          <w:b/>
          <w:szCs w:val="21"/>
        </w:rPr>
      </w:pPr>
      <w:r>
        <w:rPr>
          <w:rFonts w:hint="eastAsia" w:ascii="宋体" w:hAnsi="宋体" w:cs="宋体"/>
          <w:szCs w:val="21"/>
        </w:rPr>
        <w:t xml:space="preserve"> </w:t>
      </w:r>
      <w:r>
        <w:rPr>
          <w:rFonts w:hint="eastAsia" w:ascii="宋体" w:hAnsi="宋体"/>
          <w:b/>
          <w:szCs w:val="21"/>
        </w:rPr>
        <w:t xml:space="preserve">                  </w:t>
      </w:r>
    </w:p>
    <w:p w14:paraId="41E15C1D">
      <w:pPr>
        <w:spacing w:line="440" w:lineRule="exact"/>
        <w:outlineLvl w:val="0"/>
        <w:rPr>
          <w:rFonts w:hint="eastAsia" w:ascii="宋体" w:hAnsi="宋体" w:cs="Times New Roman"/>
          <w:b/>
          <w:bCs w:val="0"/>
          <w:color w:val="000000" w:themeColor="text1"/>
          <w:sz w:val="24"/>
          <w:szCs w:val="22"/>
          <w14:textFill>
            <w14:solidFill>
              <w14:schemeClr w14:val="tx1"/>
            </w14:solidFill>
          </w14:textFill>
        </w:rPr>
      </w:pPr>
      <w:r>
        <w:rPr>
          <w:rFonts w:hint="eastAsia" w:ascii="宋体" w:hAnsi="宋体" w:cs="Times New Roman"/>
          <w:b/>
          <w:bCs w:val="0"/>
          <w:color w:val="000000" w:themeColor="text1"/>
          <w:sz w:val="24"/>
          <w:szCs w:val="22"/>
          <w14:textFill>
            <w14:solidFill>
              <w14:schemeClr w14:val="tx1"/>
            </w14:solidFill>
          </w14:textFill>
        </w:rPr>
        <w:t>三、本项目改造服务方式</w:t>
      </w:r>
    </w:p>
    <w:p w14:paraId="5CB936F2">
      <w:pPr>
        <w:spacing w:line="360" w:lineRule="auto"/>
        <w:ind w:firstLine="420" w:firstLineChars="200"/>
        <w:rPr>
          <w:rFonts w:hint="eastAsia" w:ascii="宋体" w:hAnsi="宋体" w:cs="宋体"/>
          <w:szCs w:val="21"/>
        </w:rPr>
      </w:pPr>
      <w:r>
        <w:rPr>
          <w:rFonts w:hint="eastAsia" w:ascii="宋体" w:hAnsi="宋体" w:cs="宋体"/>
          <w:szCs w:val="21"/>
        </w:rPr>
        <w:t>对综合楼手术室净化空调机组进行改造，增加辅助冷热源系统、新风预处理表冷段、新风过滤段、电动调节阀及温湿度传感器等现场设备，改造采用全包方式，包含所有材料、配件和人工费，工程质保1年。</w:t>
      </w:r>
    </w:p>
    <w:p w14:paraId="5B247453">
      <w:pPr>
        <w:spacing w:line="360" w:lineRule="auto"/>
        <w:jc w:val="left"/>
        <w:rPr>
          <w:rFonts w:hint="eastAsia" w:ascii="宋体" w:hAnsi="宋体" w:cs="宋体"/>
          <w:b/>
          <w:bCs/>
          <w:szCs w:val="24"/>
        </w:rPr>
      </w:pPr>
      <w:r>
        <w:rPr>
          <w:rFonts w:hint="eastAsia" w:ascii="宋体" w:hAnsi="宋体" w:cs="Times New Roman"/>
          <w:b/>
          <w:color w:val="000000" w:themeColor="text1"/>
          <w:sz w:val="24"/>
          <w:szCs w:val="22"/>
          <w14:textFill>
            <w14:solidFill>
              <w14:schemeClr w14:val="tx1"/>
            </w14:solidFill>
          </w14:textFill>
        </w:rPr>
        <w:t>四、服务要求</w:t>
      </w:r>
    </w:p>
    <w:p w14:paraId="3807CB07">
      <w:pPr>
        <w:spacing w:line="360" w:lineRule="auto"/>
        <w:ind w:firstLine="210" w:firstLineChars="100"/>
        <w:jc w:val="left"/>
        <w:rPr>
          <w:rFonts w:hint="eastAsia" w:ascii="宋体" w:hAnsi="宋体" w:cs="宋体"/>
          <w:color w:val="FF0000"/>
          <w:kern w:val="0"/>
          <w:szCs w:val="24"/>
        </w:rPr>
      </w:pPr>
      <w:r>
        <w:rPr>
          <w:rFonts w:hint="eastAsia" w:ascii="宋体" w:hAnsi="宋体" w:cs="宋体"/>
          <w:color w:val="FF0000"/>
          <w:kern w:val="0"/>
          <w:szCs w:val="24"/>
        </w:rPr>
        <w:t>（1）供应商应确保改造后，手术室温度、湿度、风量等各项指标均满足手术室舒适度和规范要求，若需深化设计、设备优化均考虑在本次报价范围内。</w:t>
      </w:r>
    </w:p>
    <w:p w14:paraId="1E04A84E">
      <w:pPr>
        <w:spacing w:line="360" w:lineRule="auto"/>
        <w:ind w:firstLine="210" w:firstLineChars="100"/>
        <w:jc w:val="left"/>
        <w:rPr>
          <w:rFonts w:hint="eastAsia" w:ascii="宋体" w:hAnsi="宋体" w:cs="宋体"/>
          <w:szCs w:val="24"/>
        </w:rPr>
      </w:pPr>
      <w:r>
        <w:rPr>
          <w:rFonts w:hint="eastAsia" w:ascii="宋体" w:hAnsi="宋体" w:cs="宋体"/>
          <w:kern w:val="0"/>
          <w:szCs w:val="24"/>
        </w:rPr>
        <w:t>（2）</w:t>
      </w:r>
      <w:r>
        <w:rPr>
          <w:rFonts w:hint="eastAsia" w:ascii="宋体" w:hAnsi="宋体" w:cs="宋体"/>
          <w:szCs w:val="24"/>
        </w:rPr>
        <w:t>供应商在医院内作业时必须服从采购人的安排，施工人员必须严格按操作规程作业，确保自身安全和采购人财产的安全。如因供应商工作人员操作失误引发的事故，所造成的损失，由供应商负责赔偿。</w:t>
      </w:r>
    </w:p>
    <w:p w14:paraId="706BE28D">
      <w:pPr>
        <w:spacing w:line="440" w:lineRule="exact"/>
        <w:jc w:val="left"/>
        <w:outlineLvl w:val="0"/>
        <w:rPr>
          <w:rFonts w:hint="eastAsia" w:ascii="宋体" w:hAnsi="宋体" w:cs="Times New Roman"/>
          <w:b/>
          <w:bCs w:val="0"/>
          <w:color w:val="000000" w:themeColor="text1"/>
          <w:sz w:val="24"/>
          <w:szCs w:val="22"/>
          <w14:textFill>
            <w14:solidFill>
              <w14:schemeClr w14:val="tx1"/>
            </w14:solidFill>
          </w14:textFill>
        </w:rPr>
      </w:pPr>
      <w:r>
        <w:rPr>
          <w:rFonts w:hint="eastAsia" w:ascii="宋体" w:hAnsi="宋体" w:cs="Times New Roman"/>
          <w:b/>
          <w:bCs w:val="0"/>
          <w:color w:val="000000" w:themeColor="text1"/>
          <w:sz w:val="24"/>
          <w:szCs w:val="22"/>
          <w14:textFill>
            <w14:solidFill>
              <w14:schemeClr w14:val="tx1"/>
            </w14:solidFill>
          </w14:textFill>
        </w:rPr>
        <w:t>五、其它</w:t>
      </w:r>
    </w:p>
    <w:p w14:paraId="75DF3E6B">
      <w:pPr>
        <w:spacing w:line="360" w:lineRule="auto"/>
        <w:jc w:val="left"/>
        <w:rPr>
          <w:rFonts w:hint="eastAsia" w:ascii="宋体" w:hAnsi="宋体" w:cs="宋体"/>
          <w:kern w:val="0"/>
          <w:szCs w:val="24"/>
        </w:rPr>
      </w:pPr>
      <w:r>
        <w:rPr>
          <w:rFonts w:hint="eastAsia" w:ascii="宋体" w:hAnsi="宋体" w:cs="宋体"/>
          <w:kern w:val="0"/>
          <w:szCs w:val="24"/>
        </w:rPr>
        <w:t>（1）提供完整的改造施工调试记录。</w:t>
      </w:r>
    </w:p>
    <w:p w14:paraId="7B4A1A87">
      <w:pPr>
        <w:spacing w:line="360" w:lineRule="auto"/>
        <w:jc w:val="left"/>
        <w:rPr>
          <w:rFonts w:hint="eastAsia" w:ascii="宋体" w:hAnsi="宋体" w:cs="宋体"/>
          <w:kern w:val="0"/>
          <w:szCs w:val="24"/>
        </w:rPr>
      </w:pPr>
      <w:r>
        <w:rPr>
          <w:rFonts w:hint="eastAsia" w:ascii="宋体" w:hAnsi="宋体" w:cs="宋体"/>
          <w:kern w:val="0"/>
          <w:szCs w:val="24"/>
        </w:rPr>
        <w:t>（2）提供完整的竣工图纸，设备资料及自控系统源程序。</w:t>
      </w:r>
    </w:p>
    <w:p w14:paraId="58030EE4">
      <w:pPr>
        <w:spacing w:line="360" w:lineRule="auto"/>
        <w:rPr>
          <w:rFonts w:hint="eastAsia" w:ascii="宋体" w:hAnsi="宋体" w:cs="宋体"/>
          <w:b/>
          <w:bCs/>
          <w:sz w:val="24"/>
          <w:szCs w:val="24"/>
        </w:rPr>
      </w:pPr>
    </w:p>
    <w:p w14:paraId="085F1DAB">
      <w:pPr>
        <w:spacing w:line="360" w:lineRule="auto"/>
        <w:jc w:val="center"/>
        <w:rPr>
          <w:rFonts w:hint="eastAsia" w:ascii="宋体" w:hAnsi="宋体" w:cs="宋体"/>
          <w:b/>
          <w:bCs/>
          <w:sz w:val="24"/>
          <w:szCs w:val="24"/>
        </w:rPr>
      </w:pPr>
      <w:r>
        <w:rPr>
          <w:rFonts w:hint="eastAsia" w:ascii="宋体" w:hAnsi="宋体" w:cs="宋体"/>
          <w:b/>
          <w:bCs/>
          <w:sz w:val="24"/>
          <w:szCs w:val="24"/>
        </w:rPr>
        <w:t>合同主要条款及合同签订方式</w:t>
      </w:r>
    </w:p>
    <w:p w14:paraId="4401DE9F">
      <w:pPr>
        <w:pStyle w:val="17"/>
        <w:spacing w:line="360" w:lineRule="auto"/>
        <w:ind w:firstLine="480" w:firstLineChars="200"/>
        <w:jc w:val="left"/>
        <w:rPr>
          <w:rFonts w:hint="eastAsia" w:hAnsi="宋体" w:cs="宋体"/>
          <w:sz w:val="24"/>
          <w:szCs w:val="24"/>
        </w:rPr>
      </w:pPr>
    </w:p>
    <w:p w14:paraId="16C647C4">
      <w:pPr>
        <w:pStyle w:val="17"/>
        <w:spacing w:line="360" w:lineRule="auto"/>
        <w:ind w:firstLine="480" w:firstLineChars="200"/>
        <w:jc w:val="left"/>
        <w:rPr>
          <w:rFonts w:hint="eastAsia" w:hAnsi="宋体" w:cs="宋体"/>
          <w:sz w:val="24"/>
          <w:szCs w:val="24"/>
        </w:rPr>
      </w:pPr>
      <w:r>
        <w:rPr>
          <w:rFonts w:hint="eastAsia" w:hAnsi="宋体" w:cs="宋体"/>
          <w:sz w:val="24"/>
          <w:szCs w:val="24"/>
        </w:rPr>
        <w:t>甲方（招标方）：扬州市中医院</w:t>
      </w:r>
    </w:p>
    <w:p w14:paraId="4FBBE10D">
      <w:pPr>
        <w:pStyle w:val="17"/>
        <w:spacing w:line="360" w:lineRule="auto"/>
        <w:ind w:firstLine="480" w:firstLineChars="200"/>
        <w:jc w:val="left"/>
        <w:rPr>
          <w:rFonts w:hint="eastAsia" w:hAnsi="宋体" w:cs="宋体"/>
          <w:sz w:val="24"/>
          <w:szCs w:val="24"/>
        </w:rPr>
      </w:pPr>
      <w:r>
        <w:rPr>
          <w:rFonts w:hint="eastAsia" w:hAnsi="宋体" w:cs="宋体"/>
          <w:sz w:val="24"/>
          <w:szCs w:val="24"/>
        </w:rPr>
        <w:t xml:space="preserve">乙方（投标方）： </w:t>
      </w:r>
    </w:p>
    <w:p w14:paraId="75B5880F">
      <w:pPr>
        <w:pStyle w:val="17"/>
        <w:spacing w:line="360" w:lineRule="auto"/>
        <w:ind w:firstLine="480" w:firstLineChars="200"/>
        <w:jc w:val="left"/>
        <w:rPr>
          <w:rFonts w:hint="eastAsia" w:hAnsi="宋体" w:cs="宋体"/>
          <w:sz w:val="24"/>
          <w:szCs w:val="24"/>
        </w:rPr>
      </w:pPr>
      <w:r>
        <w:rPr>
          <w:rFonts w:hint="eastAsia" w:hAnsi="宋体" w:cs="宋体"/>
          <w:sz w:val="24"/>
          <w:szCs w:val="24"/>
        </w:rPr>
        <w:t xml:space="preserve">甲乙双方根据《中华人民共和国合同法》和《中华人民共和国招标投标法》等相关法律法规以及本项目的招标文件、答疑文件及投标文件，经协商达成合同如下： </w:t>
      </w:r>
    </w:p>
    <w:p w14:paraId="5031AD92">
      <w:pPr>
        <w:pStyle w:val="17"/>
        <w:spacing w:line="360" w:lineRule="auto"/>
        <w:ind w:firstLine="482" w:firstLineChars="200"/>
        <w:jc w:val="left"/>
        <w:rPr>
          <w:rFonts w:hint="eastAsia" w:hAnsi="宋体" w:cs="宋体"/>
          <w:b/>
          <w:sz w:val="24"/>
          <w:szCs w:val="24"/>
        </w:rPr>
      </w:pPr>
      <w:r>
        <w:rPr>
          <w:rFonts w:hint="eastAsia" w:hAnsi="宋体" w:cs="宋体"/>
          <w:b/>
          <w:sz w:val="24"/>
          <w:szCs w:val="24"/>
        </w:rPr>
        <w:t>一、合同标的</w:t>
      </w:r>
    </w:p>
    <w:p w14:paraId="1CDC9947">
      <w:pPr>
        <w:pStyle w:val="17"/>
        <w:spacing w:line="360" w:lineRule="auto"/>
        <w:ind w:firstLine="480" w:firstLineChars="200"/>
        <w:jc w:val="left"/>
        <w:rPr>
          <w:rFonts w:hint="eastAsia" w:hAnsi="宋体" w:cs="宋体"/>
          <w:color w:val="FF0000"/>
          <w:sz w:val="24"/>
          <w:szCs w:val="24"/>
        </w:rPr>
      </w:pPr>
      <w:r>
        <w:rPr>
          <w:rFonts w:hint="eastAsia" w:hAnsi="宋体" w:cs="宋体"/>
          <w:color w:val="FF0000"/>
          <w:sz w:val="24"/>
          <w:szCs w:val="24"/>
        </w:rPr>
        <w:t>本合同标的为甲方院内综合楼手术室净化空调机组改造项目，改造范围为手术室7台净化空调机组，增加辅助冷热源系统、新风预处理表冷段、新风过滤段及自动控制系统。</w:t>
      </w:r>
    </w:p>
    <w:p w14:paraId="55F0E719">
      <w:pPr>
        <w:pStyle w:val="17"/>
        <w:spacing w:line="360" w:lineRule="auto"/>
        <w:ind w:firstLine="480" w:firstLineChars="200"/>
        <w:jc w:val="left"/>
        <w:rPr>
          <w:rFonts w:hint="eastAsia" w:hAnsi="宋体" w:cs="宋体"/>
          <w:sz w:val="24"/>
          <w:szCs w:val="24"/>
        </w:rPr>
      </w:pPr>
      <w:r>
        <w:rPr>
          <w:rFonts w:hint="eastAsia" w:hAnsi="宋体" w:cs="宋体"/>
          <w:sz w:val="24"/>
          <w:szCs w:val="24"/>
        </w:rPr>
        <w:t xml:space="preserve">  </w:t>
      </w:r>
      <w:r>
        <w:rPr>
          <w:rFonts w:hint="eastAsia" w:hAnsi="宋体" w:cs="宋体"/>
          <w:b/>
          <w:sz w:val="24"/>
          <w:szCs w:val="24"/>
        </w:rPr>
        <w:t>二、合同价格</w:t>
      </w:r>
    </w:p>
    <w:p w14:paraId="15DE8DAA">
      <w:pPr>
        <w:pStyle w:val="17"/>
        <w:spacing w:line="360" w:lineRule="auto"/>
        <w:ind w:firstLine="480" w:firstLineChars="200"/>
        <w:jc w:val="left"/>
        <w:rPr>
          <w:rFonts w:hint="eastAsia" w:hAnsi="宋体" w:cs="宋体"/>
          <w:color w:val="000000"/>
          <w:sz w:val="24"/>
          <w:szCs w:val="24"/>
        </w:rPr>
      </w:pPr>
      <w:r>
        <w:rPr>
          <w:rFonts w:hint="eastAsia" w:hAnsi="宋体" w:cs="宋体"/>
          <w:color w:val="000000"/>
          <w:sz w:val="24"/>
          <w:szCs w:val="24"/>
        </w:rPr>
        <w:t>1、合同总价：人民币（大写）          万元。</w:t>
      </w:r>
    </w:p>
    <w:p w14:paraId="15ED7599">
      <w:pPr>
        <w:pStyle w:val="17"/>
        <w:spacing w:line="360" w:lineRule="auto"/>
        <w:ind w:firstLine="480" w:firstLineChars="200"/>
        <w:jc w:val="left"/>
        <w:rPr>
          <w:rFonts w:hint="eastAsia" w:hAnsi="宋体" w:cs="宋体"/>
          <w:sz w:val="24"/>
          <w:szCs w:val="24"/>
        </w:rPr>
      </w:pPr>
      <w:r>
        <w:rPr>
          <w:rFonts w:hint="eastAsia" w:hAnsi="宋体" w:cs="宋体"/>
          <w:color w:val="000000"/>
          <w:sz w:val="24"/>
          <w:szCs w:val="24"/>
        </w:rPr>
        <w:t>2、合同价格</w:t>
      </w:r>
      <w:r>
        <w:rPr>
          <w:rFonts w:hint="eastAsia" w:hAnsi="宋体" w:cs="宋体"/>
          <w:sz w:val="24"/>
          <w:szCs w:val="24"/>
        </w:rPr>
        <w:t xml:space="preserve">为现场改造服务价格，包括但不限于服务所使用的人员、工具仪器、保险、安装、调试、各种规、税费等全部费用和利润。投标分项报价表中标明的价格应为履行合同的固定总价，投标人不得以任何理由予以变更（招标人主动提出的变更除外）。 </w:t>
      </w:r>
    </w:p>
    <w:p w14:paraId="51C522F5">
      <w:pPr>
        <w:pStyle w:val="17"/>
        <w:spacing w:line="360" w:lineRule="auto"/>
        <w:ind w:firstLine="480" w:firstLineChars="200"/>
        <w:jc w:val="left"/>
        <w:rPr>
          <w:rFonts w:hint="eastAsia" w:hAnsi="宋体" w:cs="宋体"/>
          <w:sz w:val="24"/>
          <w:szCs w:val="24"/>
        </w:rPr>
      </w:pPr>
      <w:r>
        <w:rPr>
          <w:rFonts w:hint="eastAsia" w:hAnsi="宋体" w:cs="宋体"/>
          <w:sz w:val="24"/>
          <w:szCs w:val="24"/>
        </w:rPr>
        <w:t>三、合同工期</w:t>
      </w:r>
    </w:p>
    <w:p w14:paraId="12DAE992">
      <w:pPr>
        <w:pStyle w:val="17"/>
        <w:spacing w:line="360" w:lineRule="auto"/>
        <w:ind w:firstLine="480" w:firstLineChars="200"/>
        <w:jc w:val="left"/>
        <w:rPr>
          <w:rFonts w:hint="eastAsia" w:hAnsi="宋体" w:cs="宋体"/>
          <w:color w:val="FF0000"/>
          <w:sz w:val="24"/>
          <w:szCs w:val="24"/>
        </w:rPr>
      </w:pPr>
      <w:r>
        <w:rPr>
          <w:rFonts w:hint="eastAsia" w:hAnsi="宋体" w:cs="宋体"/>
          <w:color w:val="FF0000"/>
          <w:sz w:val="24"/>
          <w:szCs w:val="24"/>
        </w:rPr>
        <w:t>合同总工期</w:t>
      </w:r>
      <w:r>
        <w:rPr>
          <w:rFonts w:hint="eastAsia" w:hAnsi="宋体" w:cs="宋体"/>
          <w:color w:val="FF0000"/>
          <w:sz w:val="24"/>
          <w:szCs w:val="24"/>
          <w:lang w:val="en-US" w:eastAsia="zh-CN"/>
        </w:rPr>
        <w:t>15</w:t>
      </w:r>
      <w:r>
        <w:rPr>
          <w:rFonts w:hint="eastAsia" w:hAnsi="宋体" w:cs="宋体"/>
          <w:color w:val="FF0000"/>
          <w:sz w:val="24"/>
          <w:szCs w:val="24"/>
        </w:rPr>
        <w:t>天。</w:t>
      </w:r>
    </w:p>
    <w:p w14:paraId="733F5456">
      <w:pPr>
        <w:pStyle w:val="17"/>
        <w:spacing w:line="360" w:lineRule="auto"/>
        <w:ind w:firstLine="482" w:firstLineChars="200"/>
        <w:jc w:val="left"/>
        <w:rPr>
          <w:rFonts w:hint="eastAsia" w:hAnsi="宋体" w:cs="宋体"/>
          <w:b/>
          <w:sz w:val="24"/>
          <w:szCs w:val="24"/>
        </w:rPr>
      </w:pPr>
      <w:r>
        <w:rPr>
          <w:rFonts w:hint="eastAsia" w:hAnsi="宋体" w:cs="宋体"/>
          <w:b/>
          <w:sz w:val="24"/>
          <w:szCs w:val="24"/>
        </w:rPr>
        <w:t>四、双方权利和义务</w:t>
      </w:r>
    </w:p>
    <w:p w14:paraId="5F936053">
      <w:pPr>
        <w:spacing w:line="360" w:lineRule="auto"/>
        <w:ind w:firstLine="480"/>
        <w:outlineLvl w:val="9"/>
        <w:rPr>
          <w:b/>
          <w:sz w:val="24"/>
          <w:szCs w:val="24"/>
        </w:rPr>
      </w:pPr>
      <w:r>
        <w:rPr>
          <w:rFonts w:hint="eastAsia"/>
          <w:b/>
          <w:sz w:val="24"/>
          <w:szCs w:val="24"/>
        </w:rPr>
        <w:t>1、甲、乙双方权利义务</w:t>
      </w:r>
    </w:p>
    <w:p w14:paraId="33E33E5F">
      <w:pPr>
        <w:pStyle w:val="17"/>
        <w:spacing w:line="360" w:lineRule="auto"/>
        <w:ind w:firstLine="480" w:firstLineChars="200"/>
        <w:jc w:val="left"/>
        <w:rPr>
          <w:rFonts w:hint="eastAsia" w:hAnsi="宋体" w:cs="宋体"/>
          <w:sz w:val="24"/>
          <w:szCs w:val="24"/>
          <w:lang w:val="zh-CN"/>
        </w:rPr>
      </w:pPr>
      <w:r>
        <w:rPr>
          <w:rFonts w:hint="eastAsia" w:hAnsi="宋体" w:cs="宋体"/>
          <w:sz w:val="24"/>
          <w:szCs w:val="24"/>
        </w:rPr>
        <w:t>1</w:t>
      </w:r>
      <w:r>
        <w:rPr>
          <w:rFonts w:hint="eastAsia" w:hAnsi="宋体" w:cs="宋体"/>
          <w:sz w:val="24"/>
          <w:szCs w:val="24"/>
          <w:lang w:val="zh-CN"/>
        </w:rPr>
        <w:t>.1甲方权利：</w:t>
      </w:r>
    </w:p>
    <w:p w14:paraId="2FDCA3C5">
      <w:pPr>
        <w:pStyle w:val="17"/>
        <w:spacing w:line="360" w:lineRule="auto"/>
        <w:ind w:firstLine="480" w:firstLineChars="200"/>
        <w:jc w:val="left"/>
        <w:rPr>
          <w:rFonts w:hint="eastAsia" w:hAnsi="宋体" w:cs="宋体"/>
          <w:sz w:val="24"/>
          <w:szCs w:val="24"/>
          <w:lang w:val="zh-CN"/>
        </w:rPr>
      </w:pPr>
      <w:r>
        <w:rPr>
          <w:rFonts w:hint="eastAsia" w:hAnsi="宋体" w:cs="宋体"/>
          <w:sz w:val="24"/>
          <w:szCs w:val="24"/>
          <w:lang w:val="zh-CN"/>
        </w:rPr>
        <w:t>（1）乙方不服从甲方管理的，甲方有权解除合同；</w:t>
      </w:r>
    </w:p>
    <w:p w14:paraId="3E838D90">
      <w:pPr>
        <w:pStyle w:val="17"/>
        <w:spacing w:line="360" w:lineRule="auto"/>
        <w:ind w:firstLine="480" w:firstLineChars="200"/>
        <w:jc w:val="left"/>
        <w:rPr>
          <w:rFonts w:hint="eastAsia" w:hAnsi="宋体" w:cs="宋体"/>
          <w:sz w:val="24"/>
          <w:szCs w:val="24"/>
          <w:lang w:val="zh-CN"/>
        </w:rPr>
      </w:pPr>
      <w:r>
        <w:rPr>
          <w:rFonts w:hint="eastAsia" w:hAnsi="宋体" w:cs="宋体"/>
          <w:sz w:val="24"/>
          <w:szCs w:val="24"/>
          <w:lang w:val="zh-CN"/>
        </w:rPr>
        <w:t>（2）乙方不能保质保量完成的，甲方有权解除合同。</w:t>
      </w:r>
    </w:p>
    <w:p w14:paraId="57DAB4B6">
      <w:pPr>
        <w:pStyle w:val="17"/>
        <w:spacing w:line="360" w:lineRule="auto"/>
        <w:ind w:firstLine="480" w:firstLineChars="200"/>
        <w:jc w:val="left"/>
        <w:rPr>
          <w:rFonts w:hint="eastAsia" w:hAnsi="宋体" w:cs="宋体"/>
          <w:sz w:val="24"/>
          <w:szCs w:val="24"/>
          <w:lang w:val="zh-CN"/>
        </w:rPr>
      </w:pPr>
      <w:r>
        <w:rPr>
          <w:rFonts w:hint="eastAsia" w:hAnsi="宋体" w:cs="宋体"/>
          <w:sz w:val="24"/>
          <w:szCs w:val="24"/>
          <w:lang w:val="zh-CN"/>
        </w:rPr>
        <w:t>（</w:t>
      </w:r>
      <w:r>
        <w:rPr>
          <w:rFonts w:hint="eastAsia" w:hAnsi="宋体" w:cs="宋体"/>
          <w:sz w:val="24"/>
          <w:szCs w:val="24"/>
        </w:rPr>
        <w:t>3</w:t>
      </w:r>
      <w:r>
        <w:rPr>
          <w:rFonts w:hint="eastAsia" w:hAnsi="宋体" w:cs="宋体"/>
          <w:sz w:val="24"/>
          <w:szCs w:val="24"/>
          <w:lang w:val="zh-CN"/>
        </w:rPr>
        <w:t>）甲方有权对乙方的</w:t>
      </w:r>
      <w:r>
        <w:rPr>
          <w:rFonts w:hint="eastAsia" w:hAnsi="宋体" w:cs="宋体"/>
          <w:sz w:val="24"/>
          <w:szCs w:val="24"/>
        </w:rPr>
        <w:t>改造</w:t>
      </w:r>
      <w:r>
        <w:rPr>
          <w:rFonts w:hint="eastAsia" w:hAnsi="宋体" w:cs="宋体"/>
          <w:sz w:val="24"/>
          <w:szCs w:val="24"/>
          <w:lang w:val="zh-CN"/>
        </w:rPr>
        <w:t>工作进行监督、检查、并提出整改意见。</w:t>
      </w:r>
    </w:p>
    <w:p w14:paraId="7C539D6E">
      <w:pPr>
        <w:pStyle w:val="17"/>
        <w:spacing w:line="360" w:lineRule="auto"/>
        <w:ind w:firstLine="480" w:firstLineChars="200"/>
        <w:jc w:val="left"/>
        <w:rPr>
          <w:rFonts w:hint="eastAsia" w:hAnsi="宋体" w:cs="宋体"/>
          <w:sz w:val="24"/>
          <w:szCs w:val="24"/>
          <w:lang w:val="zh-CN"/>
        </w:rPr>
      </w:pPr>
      <w:r>
        <w:rPr>
          <w:rFonts w:hint="eastAsia" w:hAnsi="宋体" w:cs="宋体"/>
          <w:sz w:val="24"/>
          <w:szCs w:val="24"/>
          <w:lang w:val="zh-CN"/>
        </w:rPr>
        <w:t>1.2乙方权利：</w:t>
      </w:r>
    </w:p>
    <w:p w14:paraId="2ECB73B5">
      <w:pPr>
        <w:pStyle w:val="17"/>
        <w:spacing w:line="360" w:lineRule="auto"/>
        <w:ind w:firstLine="480" w:firstLineChars="200"/>
        <w:jc w:val="left"/>
        <w:rPr>
          <w:rFonts w:hint="eastAsia" w:hAnsi="宋体" w:cs="宋体"/>
          <w:sz w:val="24"/>
          <w:szCs w:val="24"/>
          <w:lang w:val="zh-CN"/>
        </w:rPr>
      </w:pPr>
      <w:r>
        <w:rPr>
          <w:rFonts w:hint="eastAsia" w:hAnsi="宋体" w:cs="宋体"/>
          <w:sz w:val="24"/>
          <w:szCs w:val="24"/>
          <w:lang w:val="zh-CN"/>
        </w:rPr>
        <w:t>（1）在合同期内，乙方自行采购合格、合规的设备</w:t>
      </w:r>
      <w:r>
        <w:rPr>
          <w:rFonts w:hint="eastAsia" w:hAnsi="宋体" w:cs="宋体"/>
          <w:sz w:val="24"/>
          <w:szCs w:val="24"/>
        </w:rPr>
        <w:t>配件</w:t>
      </w:r>
      <w:r>
        <w:rPr>
          <w:rFonts w:hint="eastAsia" w:hAnsi="宋体" w:cs="宋体"/>
          <w:sz w:val="24"/>
          <w:szCs w:val="24"/>
          <w:lang w:val="zh-CN"/>
        </w:rPr>
        <w:t>等。</w:t>
      </w:r>
    </w:p>
    <w:p w14:paraId="4E22AC36">
      <w:pPr>
        <w:pStyle w:val="17"/>
        <w:spacing w:line="360" w:lineRule="auto"/>
        <w:ind w:firstLine="480" w:firstLineChars="200"/>
        <w:jc w:val="left"/>
        <w:rPr>
          <w:rFonts w:hint="eastAsia" w:hAnsi="宋体" w:cs="宋体"/>
          <w:sz w:val="24"/>
          <w:szCs w:val="24"/>
          <w:lang w:val="zh-CN"/>
        </w:rPr>
      </w:pPr>
      <w:r>
        <w:rPr>
          <w:rFonts w:hint="eastAsia" w:hAnsi="宋体" w:cs="宋体"/>
          <w:sz w:val="24"/>
          <w:szCs w:val="24"/>
          <w:lang w:val="zh-CN"/>
        </w:rPr>
        <w:t>（2）在合同期内，乙方自行安排人员进行</w:t>
      </w:r>
      <w:r>
        <w:rPr>
          <w:rFonts w:hint="eastAsia" w:hAnsi="宋体" w:cs="宋体"/>
          <w:sz w:val="24"/>
          <w:szCs w:val="24"/>
        </w:rPr>
        <w:t>施工</w:t>
      </w:r>
      <w:r>
        <w:rPr>
          <w:rFonts w:hint="eastAsia" w:hAnsi="宋体" w:cs="宋体"/>
          <w:sz w:val="24"/>
          <w:szCs w:val="24"/>
          <w:lang w:val="zh-CN"/>
        </w:rPr>
        <w:t>、</w:t>
      </w:r>
      <w:r>
        <w:rPr>
          <w:rFonts w:hint="eastAsia" w:hAnsi="宋体" w:cs="宋体"/>
          <w:sz w:val="24"/>
          <w:szCs w:val="24"/>
        </w:rPr>
        <w:t>调试</w:t>
      </w:r>
      <w:r>
        <w:rPr>
          <w:rFonts w:hint="eastAsia" w:hAnsi="宋体" w:cs="宋体"/>
          <w:sz w:val="24"/>
          <w:szCs w:val="24"/>
          <w:lang w:val="zh-CN"/>
        </w:rPr>
        <w:t>。</w:t>
      </w:r>
    </w:p>
    <w:p w14:paraId="23357C12">
      <w:pPr>
        <w:pStyle w:val="17"/>
        <w:spacing w:line="360" w:lineRule="auto"/>
        <w:ind w:firstLine="480" w:firstLineChars="200"/>
        <w:jc w:val="left"/>
        <w:rPr>
          <w:rFonts w:hint="eastAsia" w:hAnsi="宋体" w:cs="宋体"/>
          <w:sz w:val="24"/>
          <w:szCs w:val="24"/>
          <w:highlight w:val="yellow"/>
        </w:rPr>
      </w:pPr>
      <w:r>
        <w:rPr>
          <w:rFonts w:hint="eastAsia" w:hAnsi="宋体" w:cs="宋体"/>
          <w:sz w:val="24"/>
          <w:szCs w:val="24"/>
        </w:rPr>
        <w:t>（3</w:t>
      </w:r>
      <w:r>
        <w:rPr>
          <w:rFonts w:hint="eastAsia" w:hAnsi="宋体" w:cs="宋体"/>
          <w:sz w:val="24"/>
          <w:szCs w:val="24"/>
          <w:highlight w:val="yellow"/>
        </w:rPr>
        <w:t>）乙方改造施工结束，系统调试完成后，提供竣工验收资料，以书面形式报送给甲方。乙方有权要求甲方按照合同规定支付相应费用。</w:t>
      </w:r>
    </w:p>
    <w:p w14:paraId="55E579F5">
      <w:pPr>
        <w:pStyle w:val="17"/>
        <w:spacing w:line="360" w:lineRule="auto"/>
        <w:ind w:firstLine="480" w:firstLineChars="200"/>
        <w:jc w:val="left"/>
        <w:rPr>
          <w:rFonts w:hint="eastAsia" w:hAnsi="宋体" w:cs="宋体"/>
          <w:sz w:val="24"/>
          <w:szCs w:val="24"/>
          <w:lang w:val="zh-CN"/>
        </w:rPr>
      </w:pPr>
      <w:r>
        <w:rPr>
          <w:rFonts w:hint="eastAsia" w:hAnsi="宋体" w:cs="宋体"/>
          <w:sz w:val="24"/>
          <w:szCs w:val="24"/>
        </w:rPr>
        <w:t>1</w:t>
      </w:r>
      <w:r>
        <w:rPr>
          <w:rFonts w:hint="eastAsia" w:hAnsi="宋体" w:cs="宋体"/>
          <w:sz w:val="24"/>
          <w:szCs w:val="24"/>
          <w:lang w:val="zh-CN"/>
        </w:rPr>
        <w:t>.3甲方义务：</w:t>
      </w:r>
    </w:p>
    <w:p w14:paraId="5F84876A">
      <w:pPr>
        <w:pStyle w:val="17"/>
        <w:spacing w:line="360" w:lineRule="auto"/>
        <w:ind w:firstLine="480" w:firstLineChars="200"/>
        <w:jc w:val="left"/>
        <w:rPr>
          <w:rFonts w:hint="eastAsia" w:hAnsi="宋体" w:cs="宋体"/>
          <w:sz w:val="24"/>
          <w:szCs w:val="24"/>
          <w:lang w:val="zh-CN"/>
        </w:rPr>
      </w:pPr>
      <w:r>
        <w:rPr>
          <w:rFonts w:hint="eastAsia" w:hAnsi="宋体" w:cs="宋体"/>
          <w:sz w:val="24"/>
          <w:szCs w:val="24"/>
          <w:lang w:val="zh-CN"/>
        </w:rPr>
        <w:t>（1）甲方应按照合同约定按期支付费用；</w:t>
      </w:r>
    </w:p>
    <w:p w14:paraId="7A4BDE6C">
      <w:pPr>
        <w:pStyle w:val="17"/>
        <w:spacing w:line="360" w:lineRule="auto"/>
        <w:ind w:firstLine="480" w:firstLineChars="200"/>
        <w:jc w:val="left"/>
        <w:rPr>
          <w:rFonts w:hint="eastAsia" w:hAnsi="宋体" w:cs="宋体"/>
          <w:sz w:val="24"/>
          <w:szCs w:val="24"/>
          <w:lang w:val="zh-CN"/>
        </w:rPr>
      </w:pPr>
      <w:r>
        <w:rPr>
          <w:rFonts w:hint="eastAsia" w:hAnsi="宋体" w:cs="宋体"/>
          <w:sz w:val="24"/>
          <w:szCs w:val="24"/>
          <w:lang w:val="zh-CN"/>
        </w:rPr>
        <w:t>（</w:t>
      </w:r>
      <w:r>
        <w:rPr>
          <w:rFonts w:hint="eastAsia" w:hAnsi="宋体" w:cs="宋体"/>
          <w:sz w:val="24"/>
          <w:szCs w:val="24"/>
        </w:rPr>
        <w:t>2</w:t>
      </w:r>
      <w:r>
        <w:rPr>
          <w:rFonts w:hint="eastAsia" w:hAnsi="宋体" w:cs="宋体"/>
          <w:sz w:val="24"/>
          <w:szCs w:val="24"/>
          <w:lang w:val="zh-CN"/>
        </w:rPr>
        <w:t>）甲方应为乙方进入院区进行工作提供便利。</w:t>
      </w:r>
    </w:p>
    <w:p w14:paraId="4BA0CB2C">
      <w:pPr>
        <w:pStyle w:val="17"/>
        <w:spacing w:line="360" w:lineRule="auto"/>
        <w:ind w:firstLine="480" w:firstLineChars="200"/>
        <w:jc w:val="left"/>
        <w:rPr>
          <w:rFonts w:hint="eastAsia" w:hAnsi="宋体" w:cs="宋体"/>
          <w:sz w:val="24"/>
          <w:szCs w:val="24"/>
        </w:rPr>
      </w:pPr>
      <w:r>
        <w:rPr>
          <w:rFonts w:hint="eastAsia" w:hAnsi="宋体" w:cs="宋体"/>
          <w:sz w:val="24"/>
          <w:szCs w:val="24"/>
          <w:lang w:val="zh-CN"/>
        </w:rPr>
        <w:t>（</w:t>
      </w:r>
      <w:r>
        <w:rPr>
          <w:rFonts w:hint="eastAsia" w:hAnsi="宋体" w:cs="宋体"/>
          <w:sz w:val="24"/>
          <w:szCs w:val="24"/>
        </w:rPr>
        <w:t>3</w:t>
      </w:r>
      <w:r>
        <w:rPr>
          <w:rFonts w:hint="eastAsia" w:hAnsi="宋体" w:cs="宋体"/>
          <w:sz w:val="24"/>
          <w:szCs w:val="24"/>
          <w:lang w:val="zh-CN"/>
        </w:rPr>
        <w:t>）在</w:t>
      </w:r>
      <w:r>
        <w:rPr>
          <w:rFonts w:hint="eastAsia" w:hAnsi="宋体" w:cs="宋体"/>
          <w:sz w:val="24"/>
          <w:szCs w:val="24"/>
        </w:rPr>
        <w:t>施工</w:t>
      </w:r>
      <w:r>
        <w:rPr>
          <w:rFonts w:hint="eastAsia" w:hAnsi="宋体" w:cs="宋体"/>
          <w:sz w:val="24"/>
          <w:szCs w:val="24"/>
          <w:lang w:val="zh-CN"/>
        </w:rPr>
        <w:t>过程中，积极配合乙方现场</w:t>
      </w:r>
      <w:r>
        <w:rPr>
          <w:rFonts w:hint="eastAsia" w:hAnsi="宋体" w:cs="宋体"/>
          <w:sz w:val="24"/>
          <w:szCs w:val="24"/>
        </w:rPr>
        <w:t>施工</w:t>
      </w:r>
      <w:r>
        <w:rPr>
          <w:rFonts w:hint="eastAsia" w:hAnsi="宋体" w:cs="宋体"/>
          <w:sz w:val="24"/>
          <w:szCs w:val="24"/>
          <w:lang w:val="zh-CN"/>
        </w:rPr>
        <w:t>人员工作，提供</w:t>
      </w:r>
      <w:r>
        <w:rPr>
          <w:rFonts w:hint="eastAsia" w:hAnsi="宋体" w:cs="宋体"/>
          <w:sz w:val="24"/>
          <w:szCs w:val="24"/>
        </w:rPr>
        <w:t>施工</w:t>
      </w:r>
      <w:r>
        <w:rPr>
          <w:rFonts w:hint="eastAsia" w:hAnsi="宋体" w:cs="宋体"/>
          <w:sz w:val="24"/>
          <w:szCs w:val="24"/>
          <w:lang w:val="zh-CN"/>
        </w:rPr>
        <w:t>需要的水电供应及可能的便利（因乙方原因造成水电浪费由乙方承担）。</w:t>
      </w:r>
    </w:p>
    <w:p w14:paraId="729F2D39">
      <w:pPr>
        <w:spacing w:line="360" w:lineRule="auto"/>
        <w:ind w:firstLine="480"/>
        <w:rPr>
          <w:rFonts w:hint="eastAsia" w:hAnsi="宋体" w:cs="宋体"/>
          <w:sz w:val="24"/>
          <w:szCs w:val="24"/>
          <w:lang w:val="zh-CN"/>
        </w:rPr>
      </w:pPr>
      <w:r>
        <w:rPr>
          <w:rFonts w:hint="eastAsia"/>
          <w:bCs/>
          <w:szCs w:val="21"/>
        </w:rPr>
        <w:t>1.4</w:t>
      </w:r>
      <w:r>
        <w:rPr>
          <w:rFonts w:hint="eastAsia"/>
          <w:bCs/>
          <w:szCs w:val="21"/>
          <w:lang w:val="zh-CN"/>
        </w:rPr>
        <w:t>乙方义务：</w:t>
      </w:r>
    </w:p>
    <w:p w14:paraId="5F96E688">
      <w:pPr>
        <w:pStyle w:val="17"/>
        <w:spacing w:line="360" w:lineRule="auto"/>
        <w:ind w:firstLine="480" w:firstLineChars="200"/>
        <w:jc w:val="left"/>
        <w:rPr>
          <w:rFonts w:hint="eastAsia" w:hAnsi="宋体" w:cs="宋体"/>
          <w:color w:val="FF0000"/>
          <w:sz w:val="24"/>
          <w:szCs w:val="24"/>
        </w:rPr>
      </w:pPr>
      <w:r>
        <w:rPr>
          <w:rFonts w:hint="eastAsia" w:hAnsi="宋体" w:cs="宋体"/>
          <w:color w:val="FF0000"/>
          <w:sz w:val="24"/>
          <w:szCs w:val="24"/>
        </w:rPr>
        <w:t>（1）乙方应在约定合同工期内完成改造施工工作，延迟一天处罚壹仟元整。</w:t>
      </w:r>
    </w:p>
    <w:p w14:paraId="3B16CEF1">
      <w:pPr>
        <w:pStyle w:val="17"/>
        <w:spacing w:line="360" w:lineRule="auto"/>
        <w:ind w:firstLine="480" w:firstLineChars="200"/>
        <w:jc w:val="left"/>
        <w:rPr>
          <w:rFonts w:hint="eastAsia" w:hAnsi="宋体" w:cs="宋体"/>
          <w:color w:val="FF0000"/>
          <w:sz w:val="24"/>
          <w:szCs w:val="24"/>
          <w:lang w:val="zh-CN"/>
        </w:rPr>
      </w:pPr>
      <w:r>
        <w:rPr>
          <w:rFonts w:hint="eastAsia" w:hAnsi="宋体" w:cs="宋体"/>
          <w:color w:val="FF0000"/>
          <w:sz w:val="24"/>
          <w:szCs w:val="24"/>
        </w:rPr>
        <w:t>（2）合同签订一周后，</w:t>
      </w:r>
      <w:r>
        <w:rPr>
          <w:rFonts w:hint="eastAsia" w:hAnsi="宋体" w:cs="宋体"/>
          <w:color w:val="FF0000"/>
          <w:sz w:val="24"/>
          <w:szCs w:val="24"/>
          <w:lang w:val="zh-CN"/>
        </w:rPr>
        <w:t>乙方安排</w:t>
      </w:r>
      <w:r>
        <w:rPr>
          <w:rFonts w:hint="eastAsia" w:hAnsi="宋体" w:cs="宋体"/>
          <w:color w:val="FF0000"/>
          <w:sz w:val="24"/>
          <w:szCs w:val="24"/>
        </w:rPr>
        <w:t>施工</w:t>
      </w:r>
      <w:r>
        <w:rPr>
          <w:rFonts w:hint="eastAsia" w:hAnsi="宋体" w:cs="宋体"/>
          <w:color w:val="FF0000"/>
          <w:sz w:val="24"/>
          <w:szCs w:val="24"/>
          <w:lang w:val="zh-CN"/>
        </w:rPr>
        <w:t>人员</w:t>
      </w:r>
      <w:r>
        <w:rPr>
          <w:rFonts w:hint="eastAsia" w:hAnsi="宋体" w:cs="宋体"/>
          <w:color w:val="FF0000"/>
          <w:sz w:val="24"/>
          <w:szCs w:val="24"/>
        </w:rPr>
        <w:t>进场施工，施工结束后开展调试工作，手术室区域改造需甲方协调施工时间</w:t>
      </w:r>
      <w:r>
        <w:rPr>
          <w:rFonts w:hint="eastAsia" w:hAnsi="宋体" w:cs="宋体"/>
          <w:color w:val="FF0000"/>
          <w:sz w:val="24"/>
          <w:szCs w:val="24"/>
          <w:lang w:val="zh-CN"/>
        </w:rPr>
        <w:t>。</w:t>
      </w:r>
    </w:p>
    <w:p w14:paraId="750DBDBA">
      <w:pPr>
        <w:pStyle w:val="17"/>
        <w:spacing w:line="360" w:lineRule="auto"/>
        <w:ind w:firstLine="480" w:firstLineChars="200"/>
        <w:jc w:val="left"/>
        <w:rPr>
          <w:rFonts w:hint="eastAsia" w:hAnsi="宋体" w:cs="宋体"/>
          <w:sz w:val="24"/>
          <w:szCs w:val="24"/>
          <w:lang w:val="zh-CN"/>
        </w:rPr>
      </w:pPr>
      <w:r>
        <w:rPr>
          <w:rFonts w:hint="eastAsia" w:hAnsi="宋体" w:cs="宋体"/>
          <w:sz w:val="24"/>
          <w:szCs w:val="24"/>
        </w:rPr>
        <w:t>（3）乙方</w:t>
      </w:r>
      <w:r>
        <w:rPr>
          <w:rFonts w:hint="eastAsia" w:hAnsi="宋体" w:cs="宋体"/>
          <w:sz w:val="24"/>
          <w:szCs w:val="24"/>
          <w:lang w:val="zh-CN"/>
        </w:rPr>
        <w:t>须服从</w:t>
      </w:r>
      <w:r>
        <w:rPr>
          <w:rFonts w:hint="eastAsia" w:hAnsi="宋体" w:cs="宋体"/>
          <w:sz w:val="24"/>
          <w:szCs w:val="24"/>
        </w:rPr>
        <w:t>甲</w:t>
      </w:r>
      <w:r>
        <w:rPr>
          <w:rFonts w:hint="eastAsia" w:hAnsi="宋体" w:cs="宋体"/>
          <w:sz w:val="24"/>
          <w:szCs w:val="24"/>
          <w:lang w:val="zh-CN"/>
        </w:rPr>
        <w:t>方的安排，</w:t>
      </w:r>
      <w:r>
        <w:rPr>
          <w:rFonts w:hint="eastAsia" w:hAnsi="宋体" w:cs="宋体"/>
          <w:sz w:val="24"/>
          <w:szCs w:val="24"/>
        </w:rPr>
        <w:t>遵守甲方一切管理制度，施工</w:t>
      </w:r>
      <w:r>
        <w:rPr>
          <w:rFonts w:hint="eastAsia" w:hAnsi="宋体" w:cs="宋体"/>
          <w:sz w:val="24"/>
          <w:szCs w:val="24"/>
          <w:lang w:val="zh-CN"/>
        </w:rPr>
        <w:t>人员必须严格按操作规程作业，确保自身安全和</w:t>
      </w:r>
      <w:r>
        <w:rPr>
          <w:rFonts w:hint="eastAsia" w:hAnsi="宋体" w:cs="宋体"/>
          <w:sz w:val="24"/>
          <w:szCs w:val="24"/>
        </w:rPr>
        <w:t>甲方</w:t>
      </w:r>
      <w:r>
        <w:rPr>
          <w:rFonts w:hint="eastAsia" w:hAnsi="宋体" w:cs="宋体"/>
          <w:sz w:val="24"/>
          <w:szCs w:val="24"/>
          <w:lang w:val="zh-CN"/>
        </w:rPr>
        <w:t>财产的安全。</w:t>
      </w:r>
      <w:r>
        <w:rPr>
          <w:rFonts w:hint="eastAsia" w:hAnsi="宋体" w:cs="宋体"/>
          <w:sz w:val="24"/>
          <w:szCs w:val="24"/>
        </w:rPr>
        <w:t>乙方工作人员的人身财产安全由乙方负责，与甲方无关。</w:t>
      </w:r>
      <w:r>
        <w:rPr>
          <w:rFonts w:hint="eastAsia" w:hAnsi="宋体" w:cs="宋体"/>
          <w:sz w:val="24"/>
          <w:szCs w:val="24"/>
          <w:lang w:val="zh-CN"/>
        </w:rPr>
        <w:t>如因</w:t>
      </w:r>
      <w:r>
        <w:rPr>
          <w:rFonts w:hint="eastAsia" w:hAnsi="宋体" w:cs="宋体"/>
          <w:sz w:val="24"/>
          <w:szCs w:val="24"/>
        </w:rPr>
        <w:t>乙</w:t>
      </w:r>
      <w:r>
        <w:rPr>
          <w:rFonts w:hint="eastAsia" w:hAnsi="宋体" w:cs="宋体"/>
          <w:sz w:val="24"/>
          <w:szCs w:val="24"/>
          <w:lang w:val="zh-CN"/>
        </w:rPr>
        <w:t>方工作人员操作失误引发的事故，所造成</w:t>
      </w:r>
      <w:r>
        <w:rPr>
          <w:rFonts w:hint="eastAsia" w:hAnsi="宋体" w:cs="宋体"/>
          <w:sz w:val="24"/>
          <w:szCs w:val="24"/>
        </w:rPr>
        <w:t>甲</w:t>
      </w:r>
      <w:r>
        <w:rPr>
          <w:rFonts w:hint="eastAsia" w:hAnsi="宋体" w:cs="宋体"/>
          <w:sz w:val="24"/>
          <w:szCs w:val="24"/>
          <w:lang w:val="zh-CN"/>
        </w:rPr>
        <w:t>方的损失，由</w:t>
      </w:r>
      <w:r>
        <w:rPr>
          <w:rFonts w:hint="eastAsia" w:hAnsi="宋体" w:cs="宋体"/>
          <w:sz w:val="24"/>
          <w:szCs w:val="24"/>
        </w:rPr>
        <w:t>乙</w:t>
      </w:r>
      <w:r>
        <w:rPr>
          <w:rFonts w:hint="eastAsia" w:hAnsi="宋体" w:cs="宋体"/>
          <w:sz w:val="24"/>
          <w:szCs w:val="24"/>
          <w:lang w:val="zh-CN"/>
        </w:rPr>
        <w:t>方负责赔偿。</w:t>
      </w:r>
    </w:p>
    <w:p w14:paraId="2B348208">
      <w:pPr>
        <w:pStyle w:val="17"/>
        <w:spacing w:line="360" w:lineRule="auto"/>
        <w:ind w:firstLine="480" w:firstLineChars="200"/>
        <w:jc w:val="left"/>
        <w:rPr>
          <w:rFonts w:hint="eastAsia" w:hAnsi="宋体" w:cs="宋体"/>
          <w:sz w:val="24"/>
          <w:szCs w:val="24"/>
        </w:rPr>
      </w:pPr>
      <w:r>
        <w:rPr>
          <w:rFonts w:hint="eastAsia" w:hAnsi="宋体" w:cs="宋体"/>
          <w:sz w:val="24"/>
          <w:szCs w:val="24"/>
        </w:rPr>
        <w:t>（4）乙方负责其派遣人员的安全责任，同时保证派遣人员持有特有工种职业技能资格证书，否则乙方应向甲方承担本合同金额20%的违约金，甲方可以从应支付给乙方的施工费用中扣除。</w:t>
      </w:r>
    </w:p>
    <w:p w14:paraId="186D3152">
      <w:pPr>
        <w:pStyle w:val="17"/>
        <w:spacing w:line="360" w:lineRule="auto"/>
        <w:ind w:firstLine="482" w:firstLineChars="200"/>
        <w:jc w:val="left"/>
        <w:rPr>
          <w:rFonts w:hint="eastAsia" w:hAnsi="宋体" w:cs="宋体"/>
          <w:b/>
          <w:sz w:val="24"/>
          <w:szCs w:val="24"/>
        </w:rPr>
      </w:pPr>
      <w:r>
        <w:rPr>
          <w:rFonts w:hint="eastAsia" w:hAnsi="宋体" w:cs="宋体"/>
          <w:b/>
          <w:sz w:val="24"/>
          <w:szCs w:val="24"/>
        </w:rPr>
        <w:t>四、付款方式</w:t>
      </w:r>
    </w:p>
    <w:p w14:paraId="3009C40C">
      <w:pPr>
        <w:pStyle w:val="17"/>
        <w:spacing w:line="360" w:lineRule="auto"/>
        <w:ind w:firstLine="420" w:firstLineChars="0"/>
        <w:jc w:val="left"/>
        <w:rPr>
          <w:rFonts w:hint="eastAsia" w:hAnsi="宋体" w:cs="宋体"/>
          <w:sz w:val="24"/>
          <w:szCs w:val="24"/>
        </w:rPr>
      </w:pPr>
      <w:r>
        <w:rPr>
          <w:rFonts w:hint="eastAsia" w:hAnsi="宋体" w:cs="宋体"/>
          <w:color w:val="FF0000"/>
          <w:sz w:val="24"/>
          <w:szCs w:val="24"/>
        </w:rPr>
        <w:t>乙方改造完成，提供竣工验收资料，经甲方检查合格后，30 个工作日内甲方向乙方支付应付项目费用95%。项目质保金5%，质保期1年。每次付款凭乙方提供的正规发票支付。</w:t>
      </w:r>
      <w:r>
        <w:rPr>
          <w:rFonts w:hint="eastAsia" w:hAnsi="宋体" w:cs="宋体"/>
          <w:sz w:val="24"/>
          <w:szCs w:val="24"/>
        </w:rPr>
        <w:t xml:space="preserve"> </w:t>
      </w:r>
    </w:p>
    <w:p w14:paraId="01B2CF1D">
      <w:pPr>
        <w:pStyle w:val="17"/>
        <w:spacing w:line="360" w:lineRule="auto"/>
        <w:ind w:firstLine="482" w:firstLineChars="200"/>
        <w:jc w:val="left"/>
        <w:rPr>
          <w:rFonts w:hint="eastAsia" w:hAnsi="宋体" w:cs="宋体"/>
          <w:b/>
          <w:sz w:val="24"/>
          <w:szCs w:val="24"/>
        </w:rPr>
      </w:pPr>
      <w:r>
        <w:rPr>
          <w:rFonts w:hint="eastAsia" w:hAnsi="宋体" w:cs="宋体"/>
          <w:b/>
          <w:sz w:val="24"/>
          <w:szCs w:val="24"/>
        </w:rPr>
        <w:t>五、质量保证</w:t>
      </w:r>
    </w:p>
    <w:p w14:paraId="43C03B57">
      <w:pPr>
        <w:pStyle w:val="17"/>
        <w:spacing w:line="360" w:lineRule="auto"/>
        <w:ind w:firstLine="480" w:firstLineChars="200"/>
        <w:jc w:val="left"/>
        <w:rPr>
          <w:rFonts w:hint="eastAsia" w:hAnsi="宋体" w:cs="宋体"/>
          <w:sz w:val="24"/>
          <w:szCs w:val="24"/>
        </w:rPr>
      </w:pPr>
      <w:r>
        <w:rPr>
          <w:rFonts w:hint="eastAsia" w:hAnsi="宋体" w:cs="宋体"/>
          <w:sz w:val="24"/>
          <w:szCs w:val="24"/>
        </w:rPr>
        <w:t>乙方保证提供的服务达到相关的空调法规、规范和技术要求，符合甲方招标文件规定的空调系统改造相关要求，确保甲方空调系统正常运行。乙方施工的设施免费质保壹年。</w:t>
      </w:r>
    </w:p>
    <w:p w14:paraId="40B14E1A">
      <w:pPr>
        <w:pStyle w:val="17"/>
        <w:spacing w:line="360" w:lineRule="auto"/>
        <w:ind w:firstLine="482" w:firstLineChars="200"/>
        <w:jc w:val="left"/>
        <w:rPr>
          <w:rFonts w:hint="eastAsia" w:hAnsi="宋体" w:cs="宋体"/>
          <w:b/>
          <w:sz w:val="24"/>
          <w:szCs w:val="24"/>
        </w:rPr>
      </w:pPr>
      <w:r>
        <w:rPr>
          <w:rFonts w:hint="eastAsia" w:hAnsi="宋体" w:cs="宋体"/>
          <w:b/>
          <w:sz w:val="24"/>
          <w:szCs w:val="24"/>
        </w:rPr>
        <w:t>六、质量索赔</w:t>
      </w:r>
    </w:p>
    <w:p w14:paraId="6D0E0F96">
      <w:pPr>
        <w:pStyle w:val="17"/>
        <w:spacing w:line="360" w:lineRule="auto"/>
        <w:ind w:firstLine="480" w:firstLineChars="200"/>
        <w:jc w:val="left"/>
        <w:rPr>
          <w:rFonts w:hint="eastAsia" w:hAnsi="宋体" w:cs="宋体"/>
          <w:sz w:val="24"/>
          <w:szCs w:val="24"/>
        </w:rPr>
      </w:pPr>
      <w:r>
        <w:rPr>
          <w:rFonts w:hint="eastAsia" w:hAnsi="宋体" w:cs="宋体"/>
          <w:sz w:val="24"/>
          <w:szCs w:val="24"/>
        </w:rPr>
        <w:t>合同期限内，乙方提供的施工服务质量如达不到相关的空调法规、规范和技术要求，或达不到甲方招标文件规定施工相关要求，根据具体状况及造成的后果，根据招标文件及合同规定，甲方有权要求乙方立即整改、项目费用扣减、终止双方合同、追究乙方的法律责任等，由此造成的损失全部由乙方承担。</w:t>
      </w:r>
    </w:p>
    <w:p w14:paraId="4F78ED05">
      <w:pPr>
        <w:pStyle w:val="17"/>
        <w:spacing w:line="360" w:lineRule="auto"/>
        <w:ind w:firstLine="482" w:firstLineChars="200"/>
        <w:jc w:val="left"/>
        <w:rPr>
          <w:rFonts w:hint="eastAsia" w:hAnsi="宋体" w:cs="宋体"/>
          <w:b/>
          <w:sz w:val="24"/>
          <w:szCs w:val="24"/>
        </w:rPr>
      </w:pPr>
      <w:r>
        <w:rPr>
          <w:rFonts w:hint="eastAsia" w:hAnsi="宋体" w:cs="宋体"/>
          <w:b/>
          <w:sz w:val="24"/>
          <w:szCs w:val="24"/>
        </w:rPr>
        <w:t>七、违约责任</w:t>
      </w:r>
    </w:p>
    <w:p w14:paraId="6D29B8A6">
      <w:pPr>
        <w:pStyle w:val="17"/>
        <w:spacing w:line="360" w:lineRule="auto"/>
        <w:ind w:firstLine="480" w:firstLineChars="200"/>
        <w:jc w:val="left"/>
        <w:rPr>
          <w:rFonts w:hint="eastAsia" w:hAnsi="宋体" w:cs="宋体"/>
          <w:sz w:val="24"/>
          <w:szCs w:val="24"/>
        </w:rPr>
      </w:pPr>
      <w:r>
        <w:rPr>
          <w:rFonts w:hint="eastAsia" w:hAnsi="宋体" w:cs="宋体"/>
          <w:sz w:val="24"/>
          <w:szCs w:val="24"/>
        </w:rPr>
        <w:t>乙方应按照双方约定服务内容及规范进行空调系统改造，甲方及时对乙方的服务及时验收并按考核规定结算施工费用，双方均不得违约，否则违约方应赔付对方施工费20%违约金，相关费用结算时一并核算。</w:t>
      </w:r>
    </w:p>
    <w:p w14:paraId="749D9E5B">
      <w:pPr>
        <w:pStyle w:val="17"/>
        <w:spacing w:line="360" w:lineRule="auto"/>
        <w:ind w:firstLine="480" w:firstLineChars="200"/>
        <w:jc w:val="left"/>
        <w:rPr>
          <w:rFonts w:hint="eastAsia" w:hAnsi="宋体" w:cs="宋体"/>
          <w:color w:val="FF0000"/>
          <w:sz w:val="24"/>
          <w:szCs w:val="24"/>
        </w:rPr>
      </w:pPr>
      <w:r>
        <w:rPr>
          <w:rFonts w:hint="eastAsia" w:hAnsi="宋体" w:cs="宋体"/>
          <w:color w:val="FF0000"/>
          <w:sz w:val="24"/>
          <w:szCs w:val="24"/>
        </w:rPr>
        <w:t>乙方因逾期交付服务项目或因其他违约行为，甲方有权要求乙方限期改正到位，乙方未能改正到位的，甲方有权解除合同，乙方应向甲方支付合同总值20%的违约金。如造成甲方损失超过违约金的，超出部分由乙方补足。</w:t>
      </w:r>
    </w:p>
    <w:p w14:paraId="5DD0F22E">
      <w:pPr>
        <w:pStyle w:val="17"/>
        <w:spacing w:line="360" w:lineRule="auto"/>
        <w:ind w:firstLine="480" w:firstLineChars="200"/>
        <w:jc w:val="left"/>
        <w:rPr>
          <w:rFonts w:hint="eastAsia" w:hAnsi="宋体" w:cs="宋体"/>
          <w:sz w:val="24"/>
          <w:szCs w:val="24"/>
        </w:rPr>
      </w:pPr>
      <w:r>
        <w:rPr>
          <w:rFonts w:hint="eastAsia" w:hAnsi="宋体" w:cs="宋体"/>
          <w:sz w:val="24"/>
          <w:szCs w:val="24"/>
        </w:rPr>
        <w:t>合同生效后，发现乙方投标属虚假承诺，或经权威部门监测提供的服务不能满足磋商文件要求，造成合同无法继续履行的，应向甲方支付不少于合同总价20%赔偿金。</w:t>
      </w:r>
    </w:p>
    <w:p w14:paraId="33E7C8EC">
      <w:pPr>
        <w:pStyle w:val="17"/>
        <w:spacing w:line="360" w:lineRule="auto"/>
        <w:ind w:firstLine="480" w:firstLineChars="200"/>
        <w:jc w:val="left"/>
        <w:rPr>
          <w:rFonts w:hint="eastAsia" w:hAnsi="宋体" w:cs="宋体"/>
          <w:sz w:val="24"/>
          <w:szCs w:val="24"/>
        </w:rPr>
      </w:pPr>
      <w:r>
        <w:rPr>
          <w:rFonts w:hint="eastAsia" w:hAnsi="宋体" w:cs="宋体"/>
          <w:sz w:val="24"/>
          <w:szCs w:val="24"/>
        </w:rPr>
        <w:t>若乙方违约，甲方因维护自身权益产生的全部费用，包括但不限于诉讼费、保全费、律师费等均由乙方承担。</w:t>
      </w:r>
    </w:p>
    <w:p w14:paraId="5E13C306">
      <w:pPr>
        <w:pStyle w:val="17"/>
        <w:spacing w:line="360" w:lineRule="auto"/>
        <w:ind w:firstLine="482" w:firstLineChars="200"/>
        <w:jc w:val="left"/>
        <w:rPr>
          <w:rFonts w:hint="eastAsia" w:hAnsi="宋体" w:cs="宋体"/>
          <w:b/>
          <w:sz w:val="24"/>
          <w:szCs w:val="24"/>
        </w:rPr>
      </w:pPr>
      <w:r>
        <w:rPr>
          <w:rFonts w:hint="eastAsia" w:hAnsi="宋体" w:cs="宋体"/>
          <w:b/>
          <w:sz w:val="24"/>
          <w:szCs w:val="24"/>
        </w:rPr>
        <w:t>八、不可抗力</w:t>
      </w:r>
    </w:p>
    <w:p w14:paraId="372DAD59">
      <w:pPr>
        <w:pStyle w:val="17"/>
        <w:spacing w:line="360" w:lineRule="auto"/>
        <w:ind w:firstLine="480" w:firstLineChars="200"/>
        <w:jc w:val="left"/>
        <w:rPr>
          <w:rFonts w:hint="eastAsia" w:hAnsi="宋体" w:cs="宋体"/>
          <w:sz w:val="24"/>
          <w:szCs w:val="24"/>
        </w:rPr>
      </w:pPr>
      <w:r>
        <w:rPr>
          <w:rFonts w:hint="eastAsia" w:hAnsi="宋体" w:cs="宋体"/>
          <w:sz w:val="24"/>
          <w:szCs w:val="24"/>
        </w:rPr>
        <w:t>甲方与乙方中的任何一方由于不可抗力的原因不能履行合同时，应在事件发生后14天内向对方通报不能履行或不能完全履行的理由；本条所述的“不可抗力”指那些不可预见、不可避免、不可克服的事件，包括：战争、严重火灾、洪水、台风、七级以上地震，但不包括乙方的违约或疏忽。</w:t>
      </w:r>
    </w:p>
    <w:p w14:paraId="6E6005F2">
      <w:pPr>
        <w:pStyle w:val="17"/>
        <w:spacing w:line="360" w:lineRule="auto"/>
        <w:ind w:firstLine="482" w:firstLineChars="200"/>
        <w:jc w:val="left"/>
        <w:rPr>
          <w:rFonts w:hint="eastAsia" w:hAnsi="宋体" w:cs="宋体"/>
          <w:b/>
          <w:sz w:val="24"/>
          <w:szCs w:val="24"/>
        </w:rPr>
      </w:pPr>
      <w:r>
        <w:rPr>
          <w:rFonts w:hint="eastAsia" w:hAnsi="宋体" w:cs="宋体"/>
          <w:b/>
          <w:sz w:val="24"/>
          <w:szCs w:val="24"/>
        </w:rPr>
        <w:t>九、争议解决</w:t>
      </w:r>
    </w:p>
    <w:p w14:paraId="74D11437">
      <w:pPr>
        <w:pStyle w:val="17"/>
        <w:spacing w:line="360" w:lineRule="auto"/>
        <w:ind w:firstLine="480" w:firstLineChars="200"/>
        <w:jc w:val="left"/>
        <w:rPr>
          <w:rFonts w:hint="eastAsia" w:hAnsi="宋体" w:cs="宋体"/>
          <w:sz w:val="24"/>
          <w:szCs w:val="24"/>
        </w:rPr>
      </w:pPr>
      <w:r>
        <w:rPr>
          <w:rFonts w:hint="eastAsia" w:hAnsi="宋体" w:cs="宋体"/>
          <w:sz w:val="24"/>
          <w:szCs w:val="24"/>
        </w:rPr>
        <w:t>买卖双方应通过友好协商，解决在执行本合同过程中所发生的或本合同有关的一切争端。如协商不成，应向项目服务所在地人民法院提起诉讼。</w:t>
      </w:r>
    </w:p>
    <w:p w14:paraId="14017333">
      <w:pPr>
        <w:pStyle w:val="17"/>
        <w:numPr>
          <w:ilvl w:val="0"/>
          <w:numId w:val="7"/>
        </w:numPr>
        <w:spacing w:line="360" w:lineRule="auto"/>
        <w:ind w:firstLine="482" w:firstLineChars="200"/>
        <w:jc w:val="left"/>
        <w:rPr>
          <w:rFonts w:hint="eastAsia" w:hAnsi="宋体" w:cs="宋体"/>
          <w:b/>
          <w:sz w:val="24"/>
          <w:szCs w:val="24"/>
        </w:rPr>
      </w:pPr>
      <w:r>
        <w:rPr>
          <w:rFonts w:hint="eastAsia" w:hAnsi="宋体" w:cs="宋体"/>
          <w:b/>
          <w:sz w:val="24"/>
          <w:szCs w:val="24"/>
        </w:rPr>
        <w:t>合同生效及其他</w:t>
      </w:r>
    </w:p>
    <w:p w14:paraId="16AD30B0">
      <w:pPr>
        <w:pStyle w:val="17"/>
        <w:spacing w:line="360" w:lineRule="auto"/>
        <w:ind w:firstLine="480" w:firstLineChars="200"/>
        <w:jc w:val="left"/>
        <w:rPr>
          <w:rFonts w:hint="eastAsia" w:hAnsi="宋体" w:cs="宋体"/>
          <w:b/>
          <w:sz w:val="24"/>
          <w:szCs w:val="24"/>
        </w:rPr>
      </w:pPr>
      <w:r>
        <w:rPr>
          <w:rFonts w:hint="eastAsia" w:hAnsi="宋体" w:cs="宋体"/>
          <w:sz w:val="24"/>
          <w:szCs w:val="24"/>
        </w:rPr>
        <w:t>附件</w:t>
      </w:r>
      <w:r>
        <w:rPr>
          <w:rFonts w:hint="eastAsia" w:hAnsi="宋体" w:cs="宋体"/>
          <w:color w:val="FF0000"/>
          <w:sz w:val="24"/>
          <w:szCs w:val="24"/>
        </w:rPr>
        <w:t>《扬州市中医院手术室空调系统改造招标文件</w:t>
      </w:r>
      <w:r>
        <w:rPr>
          <w:rFonts w:hint="eastAsia" w:hAnsi="宋体" w:cs="宋体"/>
          <w:sz w:val="24"/>
          <w:szCs w:val="24"/>
        </w:rPr>
        <w:t>》与合同有同等的法律效应，双方有共同遵守的责任。</w:t>
      </w:r>
    </w:p>
    <w:p w14:paraId="0D319C85">
      <w:pPr>
        <w:pStyle w:val="17"/>
        <w:spacing w:line="360" w:lineRule="auto"/>
        <w:ind w:firstLine="480" w:firstLineChars="200"/>
        <w:jc w:val="left"/>
        <w:rPr>
          <w:rFonts w:hint="eastAsia" w:hAnsi="宋体" w:cs="宋体"/>
          <w:sz w:val="24"/>
          <w:szCs w:val="24"/>
        </w:rPr>
      </w:pPr>
      <w:r>
        <w:rPr>
          <w:rFonts w:hint="eastAsia" w:hAnsi="宋体" w:cs="宋体"/>
          <w:sz w:val="24"/>
          <w:szCs w:val="24"/>
        </w:rPr>
        <w:t>合同应在双方签字盖章后即开始生效。</w:t>
      </w:r>
    </w:p>
    <w:p w14:paraId="434E3FDB">
      <w:pPr>
        <w:pStyle w:val="17"/>
        <w:spacing w:line="360" w:lineRule="auto"/>
        <w:ind w:firstLine="480" w:firstLineChars="200"/>
        <w:jc w:val="left"/>
        <w:rPr>
          <w:rFonts w:hint="eastAsia" w:hAnsi="宋体" w:cs="宋体"/>
          <w:sz w:val="24"/>
          <w:szCs w:val="24"/>
        </w:rPr>
      </w:pPr>
      <w:r>
        <w:rPr>
          <w:rFonts w:hint="eastAsia" w:hAnsi="宋体" w:cs="宋体"/>
          <w:sz w:val="24"/>
          <w:szCs w:val="24"/>
        </w:rPr>
        <w:t>本合同壹式肆份，双方各执贰份。如需修改或补充合同内容，经协商一致，双方应签订补充协议，补充协议与本合同具有同等效力。</w:t>
      </w:r>
    </w:p>
    <w:p w14:paraId="47DE22F4">
      <w:pPr>
        <w:pStyle w:val="17"/>
        <w:spacing w:line="360" w:lineRule="auto"/>
        <w:ind w:firstLine="480" w:firstLineChars="200"/>
        <w:jc w:val="left"/>
        <w:rPr>
          <w:rFonts w:hint="eastAsia" w:hAnsi="宋体" w:cs="宋体"/>
          <w:sz w:val="24"/>
          <w:szCs w:val="24"/>
        </w:rPr>
      </w:pPr>
    </w:p>
    <w:p w14:paraId="4103E291">
      <w:pPr>
        <w:pStyle w:val="17"/>
        <w:spacing w:line="360" w:lineRule="auto"/>
        <w:ind w:firstLine="480" w:firstLineChars="200"/>
        <w:jc w:val="left"/>
        <w:rPr>
          <w:rFonts w:hint="eastAsia" w:hAnsi="宋体" w:cs="宋体"/>
          <w:sz w:val="24"/>
          <w:szCs w:val="24"/>
        </w:rPr>
      </w:pPr>
      <w:r>
        <w:rPr>
          <w:rFonts w:hint="eastAsia" w:hAnsi="宋体" w:cs="宋体"/>
          <w:sz w:val="24"/>
          <w:szCs w:val="24"/>
        </w:rPr>
        <w:tab/>
      </w:r>
    </w:p>
    <w:p w14:paraId="4D17B243">
      <w:pPr>
        <w:pStyle w:val="17"/>
        <w:spacing w:line="360" w:lineRule="auto"/>
        <w:ind w:firstLine="480" w:firstLineChars="200"/>
        <w:jc w:val="left"/>
        <w:rPr>
          <w:rFonts w:hint="eastAsia" w:hAnsi="宋体" w:cs="宋体"/>
          <w:sz w:val="24"/>
          <w:szCs w:val="24"/>
        </w:rPr>
      </w:pPr>
      <w:r>
        <w:rPr>
          <w:rFonts w:hint="eastAsia" w:hAnsi="宋体" w:cs="宋体"/>
          <w:sz w:val="24"/>
          <w:szCs w:val="24"/>
        </w:rPr>
        <w:t>甲方（公章）：</w:t>
      </w:r>
      <w:r>
        <w:rPr>
          <w:rFonts w:hint="eastAsia" w:hAnsi="宋体" w:cs="宋体"/>
          <w:sz w:val="24"/>
          <w:szCs w:val="24"/>
        </w:rPr>
        <w:tab/>
      </w:r>
      <w:r>
        <w:rPr>
          <w:rFonts w:hint="eastAsia" w:hAnsi="宋体" w:cs="宋体"/>
          <w:sz w:val="24"/>
          <w:szCs w:val="24"/>
        </w:rPr>
        <w:t xml:space="preserve">                乙方（公章）：         </w:t>
      </w:r>
    </w:p>
    <w:p w14:paraId="211E8929">
      <w:pPr>
        <w:pStyle w:val="17"/>
        <w:spacing w:line="360" w:lineRule="auto"/>
        <w:ind w:firstLine="480" w:firstLineChars="200"/>
        <w:jc w:val="left"/>
        <w:rPr>
          <w:rFonts w:hint="eastAsia" w:hAnsi="宋体" w:cs="宋体"/>
          <w:sz w:val="24"/>
          <w:szCs w:val="24"/>
        </w:rPr>
      </w:pPr>
      <w:r>
        <w:rPr>
          <w:rFonts w:hint="eastAsia" w:hAnsi="宋体" w:cs="宋体"/>
          <w:sz w:val="24"/>
          <w:szCs w:val="24"/>
        </w:rPr>
        <w:tab/>
      </w:r>
      <w:r>
        <w:rPr>
          <w:rFonts w:hint="eastAsia" w:hAnsi="宋体" w:cs="宋体"/>
          <w:sz w:val="24"/>
          <w:szCs w:val="24"/>
        </w:rPr>
        <w:t>法定代表人（签字或盖章）：       法定代表人（签字或盖章）：</w:t>
      </w:r>
    </w:p>
    <w:p w14:paraId="2B80B50D">
      <w:pPr>
        <w:pStyle w:val="17"/>
        <w:spacing w:line="360" w:lineRule="auto"/>
        <w:ind w:firstLine="480" w:firstLineChars="200"/>
        <w:jc w:val="left"/>
        <w:rPr>
          <w:rFonts w:hint="eastAsia" w:hAnsi="宋体" w:cs="宋体"/>
          <w:sz w:val="24"/>
          <w:szCs w:val="24"/>
        </w:rPr>
      </w:pPr>
      <w:r>
        <w:rPr>
          <w:rFonts w:hint="eastAsia" w:hAnsi="宋体" w:cs="宋体"/>
          <w:sz w:val="24"/>
          <w:szCs w:val="24"/>
        </w:rPr>
        <w:t>联系人：                        联系人</w:t>
      </w:r>
    </w:p>
    <w:p w14:paraId="03AE6E52">
      <w:pPr>
        <w:pStyle w:val="17"/>
        <w:spacing w:line="360" w:lineRule="auto"/>
        <w:ind w:firstLine="480" w:firstLineChars="200"/>
        <w:jc w:val="left"/>
        <w:rPr>
          <w:rFonts w:hint="eastAsia" w:hAnsi="宋体" w:cs="宋体"/>
          <w:sz w:val="24"/>
          <w:szCs w:val="24"/>
        </w:rPr>
      </w:pPr>
      <w:r>
        <w:rPr>
          <w:rFonts w:hint="eastAsia" w:hAnsi="宋体" w:cs="宋体"/>
          <w:sz w:val="24"/>
          <w:szCs w:val="24"/>
        </w:rPr>
        <w:t>委托代理人：                    委托代理人：</w:t>
      </w:r>
    </w:p>
    <w:p w14:paraId="55CAF4EA">
      <w:pPr>
        <w:pStyle w:val="17"/>
        <w:spacing w:line="360" w:lineRule="auto"/>
        <w:ind w:firstLine="480" w:firstLineChars="200"/>
        <w:jc w:val="left"/>
        <w:rPr>
          <w:rFonts w:hint="eastAsia" w:hAnsi="宋体" w:cs="宋体"/>
          <w:sz w:val="24"/>
          <w:szCs w:val="24"/>
        </w:rPr>
      </w:pPr>
      <w:r>
        <w:rPr>
          <w:rFonts w:hint="eastAsia" w:hAnsi="宋体" w:cs="宋体"/>
          <w:sz w:val="24"/>
          <w:szCs w:val="24"/>
        </w:rPr>
        <w:tab/>
      </w:r>
      <w:r>
        <w:rPr>
          <w:rFonts w:hint="eastAsia" w:hAnsi="宋体" w:cs="宋体"/>
          <w:sz w:val="24"/>
          <w:szCs w:val="24"/>
        </w:rPr>
        <w:t xml:space="preserve">电话：              </w:t>
      </w:r>
      <w:r>
        <w:rPr>
          <w:rFonts w:hint="eastAsia" w:hAnsi="宋体" w:cs="宋体"/>
          <w:sz w:val="24"/>
          <w:szCs w:val="24"/>
        </w:rPr>
        <w:tab/>
      </w:r>
      <w:r>
        <w:rPr>
          <w:rFonts w:hint="eastAsia" w:hAnsi="宋体" w:cs="宋体"/>
          <w:sz w:val="24"/>
          <w:szCs w:val="24"/>
        </w:rPr>
        <w:t xml:space="preserve">        电话：                </w:t>
      </w:r>
    </w:p>
    <w:p w14:paraId="66228687">
      <w:pPr>
        <w:pStyle w:val="17"/>
        <w:spacing w:line="360" w:lineRule="auto"/>
        <w:ind w:firstLine="480" w:firstLineChars="200"/>
        <w:jc w:val="left"/>
        <w:rPr>
          <w:rFonts w:hint="eastAsia" w:hAnsi="宋体" w:cs="宋体"/>
          <w:sz w:val="24"/>
          <w:szCs w:val="24"/>
        </w:rPr>
      </w:pPr>
      <w:r>
        <w:rPr>
          <w:rFonts w:hint="eastAsia" w:hAnsi="宋体" w:cs="宋体"/>
          <w:sz w:val="24"/>
          <w:szCs w:val="24"/>
        </w:rPr>
        <w:tab/>
      </w:r>
      <w:r>
        <w:rPr>
          <w:rFonts w:hint="eastAsia" w:hAnsi="宋体" w:cs="宋体"/>
          <w:sz w:val="24"/>
          <w:szCs w:val="24"/>
        </w:rPr>
        <w:t xml:space="preserve">开户银行及账号：                开户银行及账号：             </w:t>
      </w:r>
    </w:p>
    <w:p w14:paraId="558FDADC">
      <w:pPr>
        <w:pStyle w:val="17"/>
        <w:spacing w:line="360" w:lineRule="auto"/>
        <w:ind w:firstLine="480" w:firstLineChars="200"/>
        <w:jc w:val="left"/>
        <w:rPr>
          <w:rFonts w:hint="eastAsia" w:hAnsi="宋体" w:cs="宋体"/>
          <w:sz w:val="24"/>
          <w:szCs w:val="24"/>
        </w:rPr>
      </w:pPr>
      <w:r>
        <w:rPr>
          <w:rFonts w:hint="eastAsia" w:hAnsi="宋体" w:cs="宋体"/>
          <w:sz w:val="24"/>
          <w:szCs w:val="24"/>
        </w:rPr>
        <w:t xml:space="preserve">  </w:t>
      </w:r>
    </w:p>
    <w:p w14:paraId="0ACC0065">
      <w:pPr>
        <w:pStyle w:val="17"/>
        <w:spacing w:line="360" w:lineRule="auto"/>
        <w:ind w:firstLine="480" w:firstLineChars="200"/>
        <w:jc w:val="left"/>
        <w:rPr>
          <w:rFonts w:hint="eastAsia" w:hAnsi="宋体" w:cs="宋体"/>
          <w:sz w:val="24"/>
          <w:szCs w:val="24"/>
        </w:rPr>
      </w:pPr>
      <w:r>
        <w:rPr>
          <w:rFonts w:hint="eastAsia" w:hAnsi="宋体" w:cs="宋体"/>
          <w:sz w:val="24"/>
          <w:szCs w:val="24"/>
        </w:rPr>
        <w:tab/>
      </w:r>
      <w:r>
        <w:rPr>
          <w:rFonts w:hint="eastAsia" w:hAnsi="宋体" w:cs="宋体"/>
          <w:sz w:val="24"/>
          <w:szCs w:val="24"/>
        </w:rPr>
        <w:t xml:space="preserve">签约日期： 年   月  日  </w:t>
      </w:r>
    </w:p>
    <w:p w14:paraId="7B9E745C">
      <w:pPr>
        <w:pStyle w:val="28"/>
        <w:spacing w:before="0" w:beforeAutospacing="0" w:after="0" w:afterAutospacing="0" w:line="360" w:lineRule="auto"/>
        <w:ind w:firstLine="480" w:firstLineChars="200"/>
        <w:rPr>
          <w:rFonts w:hint="eastAsia"/>
        </w:rPr>
        <w:sectPr>
          <w:pgSz w:w="11906" w:h="16838"/>
          <w:pgMar w:top="1418" w:right="1474" w:bottom="1021" w:left="1588" w:header="851" w:footer="567" w:gutter="0"/>
          <w:cols w:space="720" w:num="1"/>
          <w:titlePg/>
          <w:docGrid w:type="lines" w:linePitch="312" w:charSpace="0"/>
        </w:sectPr>
      </w:pPr>
    </w:p>
    <w:p w14:paraId="29E6DAE7">
      <w:pPr>
        <w:pStyle w:val="2"/>
        <w:spacing w:before="156" w:after="156" w:line="440" w:lineRule="exact"/>
      </w:pPr>
      <w:bookmarkStart w:id="21" w:name="_Toc20403"/>
      <w:r>
        <w:rPr>
          <w:rFonts w:hint="eastAsia"/>
          <w:highlight w:val="white"/>
        </w:rPr>
        <w:t>第五部分</w:t>
      </w:r>
      <w:r>
        <w:rPr>
          <w:rFonts w:hint="eastAsia"/>
        </w:rPr>
        <w:t xml:space="preserve">  响应文件格式</w:t>
      </w:r>
      <w:bookmarkEnd w:id="21"/>
    </w:p>
    <w:p w14:paraId="18688D49">
      <w:pPr>
        <w:pStyle w:val="103"/>
        <w:spacing w:line="440" w:lineRule="exact"/>
        <w:outlineLvl w:val="9"/>
        <w:rPr>
          <w:rFonts w:hint="eastAsia"/>
          <w:b w:val="0"/>
        </w:rPr>
      </w:pPr>
      <w:bookmarkStart w:id="22" w:name="_Toc1344"/>
      <w:r>
        <w:rPr>
          <w:rFonts w:hint="eastAsia"/>
          <w:b w:val="0"/>
        </w:rPr>
        <w:t>封面</w:t>
      </w:r>
      <w:bookmarkEnd w:id="22"/>
    </w:p>
    <w:p w14:paraId="7E00FA4A">
      <w:pPr>
        <w:pStyle w:val="103"/>
        <w:spacing w:line="440" w:lineRule="exact"/>
        <w:jc w:val="center"/>
        <w:outlineLvl w:val="9"/>
        <w:rPr>
          <w:rFonts w:hint="eastAsia"/>
          <w:b w:val="0"/>
        </w:rPr>
      </w:pPr>
    </w:p>
    <w:p w14:paraId="068EE1BF">
      <w:pPr>
        <w:pStyle w:val="103"/>
        <w:spacing w:line="440" w:lineRule="exact"/>
        <w:jc w:val="center"/>
        <w:outlineLvl w:val="9"/>
        <w:rPr>
          <w:rFonts w:hint="eastAsia"/>
          <w:b w:val="0"/>
        </w:rPr>
      </w:pPr>
    </w:p>
    <w:p w14:paraId="32770F6A">
      <w:pPr>
        <w:pStyle w:val="103"/>
        <w:spacing w:line="440" w:lineRule="exact"/>
        <w:ind w:firstLine="1325" w:firstLineChars="300"/>
        <w:outlineLvl w:val="9"/>
        <w:rPr>
          <w:rFonts w:ascii="Times New Roman" w:hAnsi="Times New Roman" w:eastAsia="宋体"/>
          <w:bCs/>
          <w:kern w:val="44"/>
          <w:sz w:val="44"/>
          <w:szCs w:val="44"/>
          <w:u w:val="single"/>
        </w:rPr>
      </w:pPr>
      <w:r>
        <w:rPr>
          <w:rFonts w:hint="eastAsia" w:ascii="Times New Roman" w:hAnsi="Times New Roman" w:eastAsia="宋体"/>
          <w:bCs/>
          <w:kern w:val="44"/>
          <w:sz w:val="44"/>
          <w:szCs w:val="44"/>
          <w:u w:val="single"/>
        </w:rPr>
        <w:t xml:space="preserve">         </w:t>
      </w:r>
      <w:bookmarkStart w:id="23" w:name="_Toc12633"/>
      <w:r>
        <w:rPr>
          <w:rFonts w:hint="eastAsia" w:ascii="Times New Roman" w:hAnsi="Times New Roman" w:eastAsia="宋体"/>
          <w:bCs/>
          <w:kern w:val="44"/>
          <w:sz w:val="44"/>
          <w:szCs w:val="44"/>
          <w:u w:val="single"/>
        </w:rPr>
        <w:t>（项目名称）</w:t>
      </w:r>
      <w:bookmarkEnd w:id="23"/>
      <w:r>
        <w:rPr>
          <w:rFonts w:hint="eastAsia" w:ascii="Times New Roman" w:hAnsi="Times New Roman" w:eastAsia="宋体"/>
          <w:bCs/>
          <w:kern w:val="44"/>
          <w:sz w:val="44"/>
          <w:szCs w:val="44"/>
          <w:u w:val="single"/>
        </w:rPr>
        <w:t xml:space="preserve">         </w:t>
      </w:r>
    </w:p>
    <w:p w14:paraId="1C9723BC">
      <w:pPr>
        <w:pStyle w:val="103"/>
        <w:spacing w:line="440" w:lineRule="exact"/>
        <w:jc w:val="center"/>
        <w:outlineLvl w:val="1"/>
        <w:rPr>
          <w:rFonts w:hint="eastAsia"/>
          <w:b w:val="0"/>
        </w:rPr>
      </w:pPr>
    </w:p>
    <w:p w14:paraId="6D42AF0C">
      <w:pPr>
        <w:pStyle w:val="103"/>
        <w:spacing w:line="440" w:lineRule="exact"/>
        <w:jc w:val="center"/>
        <w:outlineLvl w:val="1"/>
        <w:rPr>
          <w:rFonts w:hint="eastAsia"/>
          <w:b w:val="0"/>
        </w:rPr>
      </w:pPr>
      <w:r>
        <w:rPr>
          <w:rFonts w:hint="eastAsia"/>
          <w:b w:val="0"/>
        </w:rPr>
        <w:t xml:space="preserve"> </w:t>
      </w:r>
    </w:p>
    <w:p w14:paraId="324251B3">
      <w:pPr>
        <w:pStyle w:val="103"/>
        <w:spacing w:line="440" w:lineRule="exact"/>
        <w:jc w:val="center"/>
        <w:outlineLvl w:val="1"/>
        <w:rPr>
          <w:rFonts w:hint="eastAsia"/>
          <w:b w:val="0"/>
        </w:rPr>
      </w:pPr>
    </w:p>
    <w:p w14:paraId="3545210F">
      <w:pPr>
        <w:ind w:right="105" w:rightChars="50"/>
        <w:jc w:val="center"/>
        <w:rPr>
          <w:rFonts w:hint="eastAsia" w:ascii="宋体" w:hAnsi="宋体"/>
          <w:sz w:val="72"/>
          <w:szCs w:val="72"/>
        </w:rPr>
      </w:pPr>
      <w:r>
        <w:rPr>
          <w:rFonts w:hint="eastAsia" w:ascii="宋体" w:hAnsi="宋体"/>
          <w:sz w:val="72"/>
          <w:szCs w:val="72"/>
        </w:rPr>
        <w:t>响应文件</w:t>
      </w:r>
    </w:p>
    <w:p w14:paraId="38121EE8">
      <w:pPr>
        <w:pStyle w:val="103"/>
        <w:spacing w:line="440" w:lineRule="exact"/>
        <w:jc w:val="center"/>
        <w:outlineLvl w:val="1"/>
        <w:rPr>
          <w:rFonts w:hint="eastAsia"/>
          <w:b w:val="0"/>
        </w:rPr>
      </w:pPr>
    </w:p>
    <w:p w14:paraId="2A3877AF">
      <w:pPr>
        <w:pStyle w:val="103"/>
        <w:spacing w:line="440" w:lineRule="exact"/>
        <w:jc w:val="center"/>
        <w:outlineLvl w:val="1"/>
        <w:rPr>
          <w:rFonts w:hint="eastAsia"/>
          <w:b w:val="0"/>
        </w:rPr>
      </w:pPr>
    </w:p>
    <w:p w14:paraId="53544067">
      <w:pPr>
        <w:pStyle w:val="103"/>
        <w:spacing w:line="440" w:lineRule="exact"/>
        <w:jc w:val="center"/>
        <w:outlineLvl w:val="1"/>
        <w:rPr>
          <w:rFonts w:hint="eastAsia"/>
          <w:b w:val="0"/>
        </w:rPr>
      </w:pPr>
    </w:p>
    <w:p w14:paraId="6237825D">
      <w:pPr>
        <w:pStyle w:val="103"/>
        <w:spacing w:line="440" w:lineRule="exact"/>
        <w:jc w:val="center"/>
        <w:outlineLvl w:val="1"/>
        <w:rPr>
          <w:rFonts w:hint="eastAsia"/>
          <w:b w:val="0"/>
        </w:rPr>
      </w:pPr>
    </w:p>
    <w:p w14:paraId="0691068D">
      <w:pPr>
        <w:pStyle w:val="103"/>
        <w:spacing w:line="440" w:lineRule="exact"/>
        <w:jc w:val="center"/>
        <w:outlineLvl w:val="1"/>
        <w:rPr>
          <w:rFonts w:hint="eastAsia"/>
          <w:b w:val="0"/>
        </w:rPr>
      </w:pPr>
    </w:p>
    <w:p w14:paraId="04B4FDC2">
      <w:pPr>
        <w:pStyle w:val="103"/>
        <w:spacing w:line="440" w:lineRule="exact"/>
        <w:jc w:val="center"/>
        <w:outlineLvl w:val="1"/>
        <w:rPr>
          <w:rFonts w:hint="eastAsia"/>
          <w:b w:val="0"/>
        </w:rPr>
      </w:pPr>
    </w:p>
    <w:p w14:paraId="2E77A73C">
      <w:pPr>
        <w:pStyle w:val="103"/>
        <w:spacing w:line="440" w:lineRule="exact"/>
        <w:jc w:val="center"/>
        <w:outlineLvl w:val="1"/>
        <w:rPr>
          <w:rFonts w:hint="eastAsia"/>
          <w:b w:val="0"/>
        </w:rPr>
      </w:pPr>
    </w:p>
    <w:p w14:paraId="3F5785A2">
      <w:pPr>
        <w:pStyle w:val="103"/>
        <w:spacing w:line="440" w:lineRule="exact"/>
        <w:jc w:val="center"/>
        <w:outlineLvl w:val="1"/>
        <w:rPr>
          <w:rFonts w:hint="eastAsia"/>
          <w:b w:val="0"/>
        </w:rPr>
      </w:pPr>
    </w:p>
    <w:p w14:paraId="1BAE73B7">
      <w:pPr>
        <w:pStyle w:val="103"/>
        <w:spacing w:line="440" w:lineRule="exact"/>
        <w:jc w:val="center"/>
        <w:outlineLvl w:val="1"/>
        <w:rPr>
          <w:rFonts w:hint="eastAsia"/>
          <w:b w:val="0"/>
        </w:rPr>
      </w:pPr>
    </w:p>
    <w:p w14:paraId="0E9A017C">
      <w:pPr>
        <w:pStyle w:val="103"/>
        <w:spacing w:line="440" w:lineRule="exact"/>
        <w:jc w:val="center"/>
        <w:outlineLvl w:val="1"/>
        <w:rPr>
          <w:rFonts w:hint="eastAsia"/>
          <w:b w:val="0"/>
        </w:rPr>
      </w:pPr>
    </w:p>
    <w:p w14:paraId="4537A8E5">
      <w:pPr>
        <w:pStyle w:val="103"/>
        <w:spacing w:line="440" w:lineRule="exact"/>
        <w:jc w:val="center"/>
        <w:outlineLvl w:val="1"/>
        <w:rPr>
          <w:rFonts w:hint="eastAsia"/>
          <w:b w:val="0"/>
        </w:rPr>
      </w:pPr>
    </w:p>
    <w:p w14:paraId="03573189">
      <w:pPr>
        <w:pStyle w:val="103"/>
        <w:spacing w:line="900" w:lineRule="exact"/>
        <w:ind w:firstLine="960" w:firstLineChars="300"/>
        <w:outlineLvl w:val="1"/>
        <w:rPr>
          <w:rFonts w:hint="eastAsia"/>
          <w:b w:val="0"/>
        </w:rPr>
      </w:pPr>
      <w:bookmarkStart w:id="24" w:name="_Toc13440"/>
      <w:r>
        <w:rPr>
          <w:rFonts w:hint="eastAsia"/>
          <w:b w:val="0"/>
        </w:rPr>
        <w:t>单位名称：</w:t>
      </w:r>
      <w:r>
        <w:rPr>
          <w:rFonts w:hint="eastAsia"/>
          <w:b w:val="0"/>
          <w:u w:val="single"/>
        </w:rPr>
        <w:t xml:space="preserve">                         </w:t>
      </w:r>
      <w:r>
        <w:rPr>
          <w:rFonts w:hint="eastAsia"/>
          <w:b w:val="0"/>
        </w:rPr>
        <w:t>（盖章）</w:t>
      </w:r>
      <w:bookmarkEnd w:id="24"/>
    </w:p>
    <w:p w14:paraId="43140E2A">
      <w:pPr>
        <w:pStyle w:val="103"/>
        <w:spacing w:line="900" w:lineRule="exact"/>
        <w:ind w:firstLine="960" w:firstLineChars="300"/>
        <w:outlineLvl w:val="1"/>
        <w:rPr>
          <w:rFonts w:hint="eastAsia"/>
          <w:b w:val="0"/>
          <w:u w:val="single"/>
        </w:rPr>
      </w:pPr>
      <w:bookmarkStart w:id="25" w:name="_Toc2985"/>
      <w:r>
        <w:rPr>
          <w:rFonts w:hint="eastAsia"/>
          <w:b w:val="0"/>
        </w:rPr>
        <w:t>法定代表人（或授权代表）：</w:t>
      </w:r>
      <w:r>
        <w:rPr>
          <w:rFonts w:hint="eastAsia"/>
          <w:b w:val="0"/>
          <w:u w:val="single"/>
        </w:rPr>
        <w:t xml:space="preserve">         </w:t>
      </w:r>
      <w:r>
        <w:rPr>
          <w:rFonts w:hint="eastAsia"/>
          <w:b w:val="0"/>
        </w:rPr>
        <w:t>（签字）</w:t>
      </w:r>
      <w:bookmarkEnd w:id="25"/>
    </w:p>
    <w:p w14:paraId="73704057">
      <w:pPr>
        <w:pStyle w:val="103"/>
        <w:spacing w:line="900" w:lineRule="exact"/>
        <w:ind w:firstLine="960" w:firstLineChars="300"/>
        <w:outlineLvl w:val="1"/>
        <w:rPr>
          <w:rFonts w:hint="eastAsia"/>
          <w:b w:val="0"/>
        </w:rPr>
      </w:pPr>
      <w:bookmarkStart w:id="26" w:name="_Toc16262"/>
      <w:r>
        <w:rPr>
          <w:rFonts w:hint="eastAsia"/>
          <w:b w:val="0"/>
        </w:rPr>
        <w:t>日期：</w:t>
      </w:r>
      <w:r>
        <w:rPr>
          <w:rFonts w:hint="eastAsia"/>
          <w:b w:val="0"/>
          <w:u w:val="single"/>
        </w:rPr>
        <w:t xml:space="preserve">        </w:t>
      </w:r>
      <w:r>
        <w:rPr>
          <w:rFonts w:hint="eastAsia"/>
          <w:b w:val="0"/>
        </w:rPr>
        <w:t>年</w:t>
      </w:r>
      <w:r>
        <w:rPr>
          <w:rFonts w:hint="eastAsia"/>
          <w:b w:val="0"/>
          <w:u w:val="single"/>
        </w:rPr>
        <w:t xml:space="preserve">        </w:t>
      </w:r>
      <w:r>
        <w:rPr>
          <w:rFonts w:hint="eastAsia"/>
          <w:b w:val="0"/>
        </w:rPr>
        <w:t>月</w:t>
      </w:r>
      <w:r>
        <w:rPr>
          <w:rFonts w:hint="eastAsia"/>
          <w:b w:val="0"/>
          <w:u w:val="single"/>
        </w:rPr>
        <w:t xml:space="preserve">       </w:t>
      </w:r>
      <w:r>
        <w:rPr>
          <w:rFonts w:hint="eastAsia"/>
          <w:b w:val="0"/>
        </w:rPr>
        <w:t>日</w:t>
      </w:r>
      <w:bookmarkEnd w:id="26"/>
    </w:p>
    <w:p w14:paraId="346136B4">
      <w:pPr>
        <w:spacing w:before="478" w:line="329" w:lineRule="exact"/>
        <w:rPr>
          <w:rFonts w:hint="eastAsia" w:ascii="方正小标宋_GBK" w:hAnsi="黑体" w:eastAsia="方正小标宋_GBK" w:cs="黑体"/>
          <w:color w:val="000000"/>
          <w:spacing w:val="2"/>
          <w:sz w:val="32"/>
          <w:szCs w:val="32"/>
        </w:rPr>
      </w:pPr>
    </w:p>
    <w:p w14:paraId="107C5CDA">
      <w:pPr>
        <w:spacing w:before="478" w:line="329" w:lineRule="exact"/>
        <w:rPr>
          <w:rFonts w:hint="eastAsia" w:ascii="方正小标宋_GBK" w:hAnsi="黑体" w:eastAsia="方正小标宋_GBK" w:cs="黑体"/>
          <w:color w:val="000000"/>
          <w:spacing w:val="2"/>
          <w:sz w:val="32"/>
          <w:szCs w:val="32"/>
        </w:rPr>
      </w:pPr>
    </w:p>
    <w:p w14:paraId="0E02D949">
      <w:pPr>
        <w:spacing w:before="478" w:line="329" w:lineRule="exact"/>
        <w:ind w:left="4100"/>
        <w:rPr>
          <w:rFonts w:hint="eastAsia" w:ascii="方正小标宋_GBK" w:hAnsi="黑体" w:eastAsia="方正小标宋_GBK" w:cs="黑体"/>
          <w:color w:val="000000"/>
          <w:spacing w:val="2"/>
          <w:sz w:val="32"/>
          <w:szCs w:val="32"/>
        </w:rPr>
      </w:pPr>
      <w:r>
        <w:rPr>
          <w:rFonts w:hint="eastAsia" w:ascii="方正小标宋_GBK" w:hAnsi="黑体" w:eastAsia="方正小标宋_GBK" w:cs="黑体"/>
          <w:color w:val="000000"/>
          <w:spacing w:val="2"/>
          <w:sz w:val="32"/>
          <w:szCs w:val="32"/>
        </w:rPr>
        <w:t>目录</w:t>
      </w:r>
    </w:p>
    <w:p w14:paraId="1E5680F1">
      <w:pPr>
        <w:spacing w:line="480" w:lineRule="exact"/>
        <w:rPr>
          <w:rFonts w:hint="eastAsia" w:ascii="黑体" w:hAnsi="黑体" w:eastAsia="黑体"/>
          <w:sz w:val="24"/>
        </w:rPr>
      </w:pPr>
    </w:p>
    <w:p w14:paraId="779D5299">
      <w:pPr>
        <w:spacing w:line="480" w:lineRule="exact"/>
        <w:rPr>
          <w:rFonts w:hint="eastAsia" w:ascii="黑体" w:hAnsi="黑体" w:eastAsia="黑体"/>
          <w:color w:val="000000"/>
          <w:sz w:val="24"/>
        </w:rPr>
      </w:pPr>
      <w:r>
        <w:rPr>
          <w:rFonts w:ascii="黑体" w:hAnsi="黑体" w:eastAsia="黑体"/>
          <w:color w:val="000000"/>
          <w:sz w:val="24"/>
        </w:rPr>
        <w:t>一、</w:t>
      </w:r>
      <w:r>
        <w:rPr>
          <w:rFonts w:hint="eastAsia" w:ascii="黑体" w:hAnsi="黑体" w:eastAsia="黑体"/>
          <w:color w:val="000000"/>
          <w:sz w:val="24"/>
        </w:rPr>
        <w:t>响应函</w:t>
      </w:r>
    </w:p>
    <w:p w14:paraId="6976A87F">
      <w:pPr>
        <w:spacing w:line="480" w:lineRule="exact"/>
        <w:rPr>
          <w:rFonts w:hint="eastAsia" w:ascii="黑体" w:hAnsi="黑体" w:eastAsia="黑体"/>
          <w:color w:val="000000"/>
          <w:sz w:val="24"/>
        </w:rPr>
      </w:pPr>
      <w:r>
        <w:rPr>
          <w:rFonts w:ascii="黑体" w:hAnsi="黑体" w:eastAsia="黑体"/>
          <w:color w:val="000000"/>
          <w:sz w:val="24"/>
        </w:rPr>
        <w:t>二、法定代表人身份证明或授权委托书</w:t>
      </w:r>
    </w:p>
    <w:p w14:paraId="082B0627">
      <w:pPr>
        <w:spacing w:line="480" w:lineRule="exact"/>
        <w:rPr>
          <w:rFonts w:hint="eastAsia" w:ascii="黑体" w:hAnsi="黑体" w:eastAsia="黑体"/>
          <w:color w:val="000000"/>
          <w:sz w:val="24"/>
        </w:rPr>
      </w:pPr>
      <w:r>
        <w:rPr>
          <w:rFonts w:hint="eastAsia" w:ascii="黑体" w:hAnsi="黑体" w:eastAsia="黑体"/>
          <w:color w:val="000000"/>
          <w:sz w:val="24"/>
        </w:rPr>
        <w:t>三</w:t>
      </w:r>
      <w:r>
        <w:rPr>
          <w:rFonts w:ascii="黑体" w:hAnsi="黑体" w:eastAsia="黑体"/>
          <w:color w:val="000000"/>
          <w:sz w:val="24"/>
        </w:rPr>
        <w:t>、营业执照副本和税务登记证复印件（或“三证合一”的营业执照或事业单位法人证书复印件）</w:t>
      </w:r>
      <w:r>
        <w:rPr>
          <w:rFonts w:hint="eastAsia" w:ascii="黑体" w:hAnsi="黑体" w:eastAsia="黑体"/>
          <w:color w:val="000000"/>
          <w:sz w:val="24"/>
        </w:rPr>
        <w:t>；</w:t>
      </w:r>
    </w:p>
    <w:p w14:paraId="7597BCDD">
      <w:pPr>
        <w:spacing w:line="480" w:lineRule="exact"/>
        <w:rPr>
          <w:rFonts w:hint="eastAsia" w:ascii="黑体" w:hAnsi="黑体" w:eastAsia="黑体"/>
          <w:color w:val="000000"/>
          <w:sz w:val="24"/>
        </w:rPr>
      </w:pPr>
      <w:r>
        <w:rPr>
          <w:rFonts w:hint="eastAsia" w:ascii="黑体" w:hAnsi="黑体" w:eastAsia="黑体"/>
          <w:color w:val="000000"/>
          <w:sz w:val="24"/>
        </w:rPr>
        <w:t>四、</w:t>
      </w:r>
      <w:r>
        <w:rPr>
          <w:rFonts w:ascii="黑体" w:hAnsi="黑体" w:eastAsia="黑体"/>
          <w:color w:val="000000"/>
          <w:sz w:val="24"/>
        </w:rPr>
        <w:t>无重大违法行为声明</w:t>
      </w:r>
    </w:p>
    <w:p w14:paraId="59355B0D">
      <w:pPr>
        <w:spacing w:line="480" w:lineRule="exact"/>
        <w:rPr>
          <w:rFonts w:hint="eastAsia" w:ascii="黑体" w:hAnsi="黑体" w:eastAsia="黑体"/>
          <w:color w:val="000000"/>
          <w:sz w:val="24"/>
        </w:rPr>
      </w:pPr>
      <w:r>
        <w:rPr>
          <w:rFonts w:hint="eastAsia" w:ascii="黑体" w:hAnsi="黑体" w:eastAsia="黑体"/>
          <w:color w:val="000000"/>
          <w:sz w:val="24"/>
        </w:rPr>
        <w:t>五</w:t>
      </w:r>
      <w:r>
        <w:rPr>
          <w:rFonts w:ascii="黑体" w:hAnsi="黑体" w:eastAsia="黑体"/>
          <w:color w:val="000000"/>
          <w:sz w:val="24"/>
        </w:rPr>
        <w:t>、报价一览表</w:t>
      </w:r>
    </w:p>
    <w:p w14:paraId="6EF2E9CC">
      <w:pPr>
        <w:spacing w:line="480" w:lineRule="exact"/>
        <w:rPr>
          <w:rFonts w:hint="eastAsia" w:ascii="黑体" w:hAnsi="黑体" w:eastAsia="黑体"/>
          <w:color w:val="FF0000"/>
          <w:sz w:val="24"/>
        </w:rPr>
      </w:pPr>
      <w:r>
        <w:rPr>
          <w:rFonts w:hint="eastAsia" w:ascii="黑体" w:hAnsi="黑体" w:eastAsia="黑体"/>
          <w:color w:val="FF0000"/>
          <w:sz w:val="24"/>
        </w:rPr>
        <w:t>六、供应商类似业绩证明文件</w:t>
      </w:r>
    </w:p>
    <w:p w14:paraId="78001C69">
      <w:pPr>
        <w:spacing w:line="480" w:lineRule="exact"/>
        <w:rPr>
          <w:rFonts w:hint="eastAsia" w:ascii="黑体" w:hAnsi="黑体" w:eastAsia="黑体"/>
          <w:color w:val="000000"/>
          <w:sz w:val="24"/>
        </w:rPr>
      </w:pPr>
      <w:r>
        <w:rPr>
          <w:rFonts w:hint="eastAsia" w:ascii="黑体" w:hAnsi="黑体" w:eastAsia="黑体"/>
          <w:color w:val="000000"/>
          <w:sz w:val="24"/>
        </w:rPr>
        <w:t>七、响应人认为有必要提供的其他材料</w:t>
      </w:r>
    </w:p>
    <w:p w14:paraId="374ED82A">
      <w:pPr>
        <w:spacing w:line="480" w:lineRule="exact"/>
        <w:rPr>
          <w:rFonts w:hint="eastAsia" w:ascii="黑体" w:hAnsi="黑体" w:eastAsia="黑体"/>
          <w:color w:val="000000"/>
          <w:sz w:val="24"/>
        </w:rPr>
      </w:pPr>
    </w:p>
    <w:p w14:paraId="66C78C03">
      <w:pPr>
        <w:spacing w:line="480" w:lineRule="exact"/>
        <w:rPr>
          <w:rFonts w:hint="eastAsia" w:ascii="黑体" w:hAnsi="黑体" w:eastAsia="黑体"/>
          <w:sz w:val="24"/>
        </w:rPr>
      </w:pPr>
    </w:p>
    <w:p w14:paraId="1053373E">
      <w:pPr>
        <w:spacing w:line="480" w:lineRule="exact"/>
        <w:rPr>
          <w:rFonts w:hint="eastAsia" w:ascii="黑体" w:hAnsi="黑体" w:eastAsia="黑体"/>
          <w:sz w:val="24"/>
        </w:rPr>
      </w:pPr>
    </w:p>
    <w:p w14:paraId="637B0B6E">
      <w:pPr>
        <w:spacing w:line="480" w:lineRule="exact"/>
        <w:rPr>
          <w:rFonts w:hint="eastAsia" w:ascii="黑体" w:hAnsi="黑体" w:eastAsia="黑体"/>
          <w:sz w:val="24"/>
        </w:rPr>
      </w:pPr>
    </w:p>
    <w:p w14:paraId="027266DD">
      <w:pPr>
        <w:spacing w:line="480" w:lineRule="exact"/>
        <w:rPr>
          <w:rFonts w:hint="eastAsia" w:ascii="黑体" w:hAnsi="黑体" w:eastAsia="黑体"/>
          <w:sz w:val="24"/>
        </w:rPr>
      </w:pPr>
    </w:p>
    <w:p w14:paraId="79E0CEF9">
      <w:pPr>
        <w:spacing w:line="480" w:lineRule="exact"/>
        <w:rPr>
          <w:rFonts w:hint="eastAsia" w:ascii="黑体" w:hAnsi="黑体" w:eastAsia="黑体"/>
          <w:sz w:val="24"/>
        </w:rPr>
      </w:pPr>
    </w:p>
    <w:p w14:paraId="40712A7C">
      <w:pPr>
        <w:spacing w:line="480" w:lineRule="exact"/>
        <w:rPr>
          <w:rFonts w:hint="eastAsia" w:ascii="黑体" w:hAnsi="黑体" w:eastAsia="黑体"/>
          <w:sz w:val="24"/>
        </w:rPr>
      </w:pPr>
    </w:p>
    <w:p w14:paraId="5077A38C">
      <w:pPr>
        <w:spacing w:line="480" w:lineRule="exact"/>
        <w:rPr>
          <w:rFonts w:hint="eastAsia" w:ascii="黑体" w:hAnsi="黑体" w:eastAsia="黑体"/>
          <w:sz w:val="24"/>
        </w:rPr>
      </w:pPr>
    </w:p>
    <w:p w14:paraId="18CA1D29">
      <w:pPr>
        <w:spacing w:line="480" w:lineRule="exact"/>
        <w:rPr>
          <w:rFonts w:hint="eastAsia" w:ascii="黑体" w:hAnsi="黑体" w:eastAsia="黑体"/>
          <w:sz w:val="24"/>
        </w:rPr>
      </w:pPr>
    </w:p>
    <w:p w14:paraId="59ED1E43">
      <w:pPr>
        <w:spacing w:line="480" w:lineRule="exact"/>
        <w:rPr>
          <w:rFonts w:hint="eastAsia" w:ascii="黑体" w:hAnsi="黑体" w:eastAsia="黑体"/>
          <w:sz w:val="24"/>
        </w:rPr>
        <w:sectPr>
          <w:pgSz w:w="11906" w:h="16838"/>
          <w:pgMar w:top="1418" w:right="1474" w:bottom="1021" w:left="1588" w:header="851" w:footer="567" w:gutter="0"/>
          <w:cols w:space="720" w:num="1"/>
          <w:titlePg/>
          <w:docGrid w:type="lines" w:linePitch="312" w:charSpace="0"/>
        </w:sectPr>
      </w:pPr>
    </w:p>
    <w:p w14:paraId="0EBE43F2">
      <w:pPr>
        <w:spacing w:line="440" w:lineRule="exact"/>
        <w:jc w:val="left"/>
        <w:rPr>
          <w:rFonts w:hint="eastAsia" w:ascii="宋体" w:hAnsi="宋体"/>
          <w:b/>
          <w:color w:val="000000"/>
          <w:sz w:val="28"/>
          <w:szCs w:val="28"/>
        </w:rPr>
      </w:pPr>
      <w:r>
        <w:rPr>
          <w:rFonts w:hint="eastAsia" w:ascii="宋体" w:hAnsi="宋体"/>
          <w:b/>
          <w:sz w:val="28"/>
          <w:szCs w:val="28"/>
        </w:rPr>
        <w:t>一、  响应</w:t>
      </w:r>
      <w:r>
        <w:rPr>
          <w:rFonts w:ascii="宋体" w:hAnsi="宋体"/>
          <w:b/>
          <w:sz w:val="28"/>
          <w:szCs w:val="28"/>
        </w:rPr>
        <w:t>函</w:t>
      </w:r>
      <w:r>
        <w:rPr>
          <w:rFonts w:hint="eastAsia" w:ascii="宋体" w:hAnsi="宋体"/>
          <w:b/>
          <w:sz w:val="28"/>
          <w:szCs w:val="28"/>
        </w:rPr>
        <w:t xml:space="preserve">  </w:t>
      </w:r>
      <w:r>
        <w:rPr>
          <w:rFonts w:hint="eastAsia" w:ascii="宋体" w:hAnsi="宋体"/>
          <w:b/>
          <w:color w:val="000000"/>
          <w:sz w:val="28"/>
          <w:szCs w:val="28"/>
        </w:rPr>
        <w:t xml:space="preserve">          </w:t>
      </w:r>
    </w:p>
    <w:p w14:paraId="34414D58">
      <w:pPr>
        <w:spacing w:line="440" w:lineRule="exact"/>
        <w:jc w:val="center"/>
        <w:rPr>
          <w:rFonts w:hint="eastAsia" w:ascii="宋体" w:hAnsi="宋体"/>
          <w:b/>
          <w:sz w:val="32"/>
          <w:szCs w:val="32"/>
        </w:rPr>
      </w:pPr>
      <w:r>
        <w:rPr>
          <w:rFonts w:hint="eastAsia" w:ascii="宋体" w:hAnsi="宋体"/>
          <w:b/>
          <w:sz w:val="32"/>
          <w:szCs w:val="32"/>
        </w:rPr>
        <w:t>响应</w:t>
      </w:r>
      <w:r>
        <w:rPr>
          <w:rFonts w:ascii="宋体" w:hAnsi="宋体"/>
          <w:b/>
          <w:sz w:val="32"/>
          <w:szCs w:val="32"/>
        </w:rPr>
        <w:t xml:space="preserve">函 </w:t>
      </w:r>
    </w:p>
    <w:p w14:paraId="4840E5CF">
      <w:pPr>
        <w:spacing w:line="440" w:lineRule="exact"/>
        <w:rPr>
          <w:rFonts w:hint="eastAsia" w:ascii="宋体" w:hAnsi="宋体"/>
          <w:color w:val="000000"/>
          <w:sz w:val="24"/>
        </w:rPr>
      </w:pPr>
      <w:r>
        <w:rPr>
          <w:rFonts w:ascii="宋体" w:hAnsi="宋体"/>
          <w:color w:val="000000"/>
          <w:sz w:val="24"/>
        </w:rPr>
        <w:t>扬州市中医院：</w:t>
      </w:r>
    </w:p>
    <w:p w14:paraId="7CBD22EB">
      <w:pPr>
        <w:tabs>
          <w:tab w:val="left" w:pos="1498"/>
        </w:tabs>
        <w:spacing w:line="440" w:lineRule="exact"/>
        <w:ind w:firstLine="480" w:firstLineChars="200"/>
        <w:rPr>
          <w:rFonts w:hint="eastAsia" w:ascii="宋体" w:hAnsi="宋体"/>
          <w:color w:val="000000"/>
          <w:sz w:val="24"/>
        </w:rPr>
      </w:pPr>
      <w:r>
        <w:rPr>
          <w:rFonts w:ascii="宋体" w:hAnsi="宋体"/>
          <w:color w:val="000000"/>
          <w:sz w:val="24"/>
        </w:rPr>
        <w:t>经研究，我们决定参</w:t>
      </w:r>
      <w:r>
        <w:rPr>
          <w:rFonts w:ascii="宋体" w:hAnsi="宋体"/>
          <w:sz w:val="24"/>
        </w:rPr>
        <w:t>加扬州市中医院</w:t>
      </w:r>
      <w:r>
        <w:rPr>
          <w:rFonts w:ascii="宋体" w:hAnsi="宋体"/>
          <w:sz w:val="24"/>
          <w:u w:val="single"/>
        </w:rPr>
        <w:t xml:space="preserve">                   </w:t>
      </w:r>
      <w:r>
        <w:rPr>
          <w:rFonts w:hint="eastAsia" w:ascii="宋体" w:hAnsi="宋体"/>
          <w:sz w:val="24"/>
        </w:rPr>
        <w:t>招标</w:t>
      </w:r>
      <w:r>
        <w:rPr>
          <w:rFonts w:ascii="宋体" w:hAnsi="宋体"/>
          <w:sz w:val="24"/>
        </w:rPr>
        <w:t>活动，为此，我方郑重声明以下诸点，</w:t>
      </w:r>
      <w:r>
        <w:rPr>
          <w:rFonts w:ascii="宋体" w:hAnsi="宋体"/>
          <w:color w:val="000000"/>
          <w:sz w:val="24"/>
        </w:rPr>
        <w:t>并负法律责任。</w:t>
      </w:r>
    </w:p>
    <w:p w14:paraId="7EF180B6">
      <w:pPr>
        <w:tabs>
          <w:tab w:val="left" w:pos="1498"/>
        </w:tabs>
        <w:spacing w:line="440" w:lineRule="exact"/>
        <w:ind w:firstLine="480" w:firstLineChars="200"/>
        <w:rPr>
          <w:rFonts w:hint="eastAsia" w:ascii="宋体" w:hAnsi="宋体"/>
          <w:color w:val="000000"/>
          <w:sz w:val="24"/>
        </w:rPr>
      </w:pPr>
      <w:r>
        <w:rPr>
          <w:rFonts w:ascii="宋体" w:hAnsi="宋体"/>
          <w:color w:val="000000"/>
          <w:sz w:val="24"/>
        </w:rPr>
        <w:t>一、我们已详细审核全部代理</w:t>
      </w:r>
      <w:r>
        <w:rPr>
          <w:rFonts w:hint="eastAsia" w:ascii="宋体" w:hAnsi="宋体"/>
          <w:color w:val="000000"/>
          <w:sz w:val="24"/>
        </w:rPr>
        <w:t>招标</w:t>
      </w:r>
      <w:r>
        <w:rPr>
          <w:rFonts w:ascii="宋体" w:hAnsi="宋体"/>
          <w:color w:val="000000"/>
          <w:sz w:val="24"/>
        </w:rPr>
        <w:t>文件及其有效补充文件，我们放弃对代理</w:t>
      </w:r>
      <w:r>
        <w:rPr>
          <w:rFonts w:hint="eastAsia" w:ascii="宋体" w:hAnsi="宋体"/>
          <w:color w:val="000000"/>
          <w:sz w:val="24"/>
        </w:rPr>
        <w:t>招标</w:t>
      </w:r>
      <w:r>
        <w:rPr>
          <w:rFonts w:ascii="宋体" w:hAnsi="宋体"/>
          <w:color w:val="000000"/>
          <w:sz w:val="24"/>
        </w:rPr>
        <w:t>文件任何误解的权利，提交代理</w:t>
      </w:r>
      <w:r>
        <w:rPr>
          <w:rFonts w:hint="eastAsia" w:ascii="宋体" w:hAnsi="宋体"/>
          <w:color w:val="000000"/>
          <w:sz w:val="24"/>
        </w:rPr>
        <w:t>招标</w:t>
      </w:r>
      <w:r>
        <w:rPr>
          <w:rFonts w:ascii="宋体" w:hAnsi="宋体"/>
          <w:color w:val="000000"/>
          <w:sz w:val="24"/>
        </w:rPr>
        <w:t>响应文件后，不对代理</w:t>
      </w:r>
      <w:r>
        <w:rPr>
          <w:rFonts w:hint="eastAsia" w:ascii="宋体" w:hAnsi="宋体"/>
          <w:color w:val="000000"/>
          <w:sz w:val="24"/>
        </w:rPr>
        <w:t>招标</w:t>
      </w:r>
      <w:r>
        <w:rPr>
          <w:rFonts w:ascii="宋体" w:hAnsi="宋体"/>
          <w:color w:val="000000"/>
          <w:sz w:val="24"/>
        </w:rPr>
        <w:t>文件本身提出质疑；</w:t>
      </w:r>
    </w:p>
    <w:p w14:paraId="11E3C353">
      <w:pPr>
        <w:tabs>
          <w:tab w:val="left" w:pos="1498"/>
        </w:tabs>
        <w:spacing w:line="440" w:lineRule="exact"/>
        <w:ind w:firstLine="480" w:firstLineChars="200"/>
        <w:rPr>
          <w:rFonts w:hint="eastAsia" w:ascii="宋体" w:hAnsi="宋体"/>
          <w:color w:val="000000"/>
          <w:sz w:val="24"/>
        </w:rPr>
      </w:pPr>
      <w:r>
        <w:rPr>
          <w:rFonts w:ascii="宋体" w:hAnsi="宋体"/>
          <w:color w:val="000000"/>
          <w:sz w:val="24"/>
        </w:rPr>
        <w:t>二、我方按要求提交响应文件；</w:t>
      </w:r>
    </w:p>
    <w:p w14:paraId="69C90EB5">
      <w:pPr>
        <w:pStyle w:val="138"/>
        <w:tabs>
          <w:tab w:val="left" w:pos="1498"/>
        </w:tabs>
        <w:spacing w:line="440" w:lineRule="exact"/>
        <w:ind w:firstLine="480" w:firstLineChars="200"/>
        <w:rPr>
          <w:rFonts w:ascii="方正仿宋_GB2312" w:eastAsia="方正仿宋_GB2312"/>
          <w:sz w:val="24"/>
        </w:rPr>
      </w:pPr>
      <w:r>
        <w:rPr>
          <w:rFonts w:ascii="宋体" w:hAnsi="宋体"/>
          <w:color w:val="000000"/>
          <w:sz w:val="24"/>
        </w:rPr>
        <w:t>三、</w:t>
      </w:r>
      <w:r>
        <w:rPr>
          <w:rFonts w:hint="eastAsia" w:ascii="宋体" w:hAnsi="宋体"/>
          <w:color w:val="000000"/>
          <w:sz w:val="24"/>
        </w:rPr>
        <w:t>我方具备履行合同所必需的设备和专业技术能力；如果我们的响应文件被接受，我们将履行招标文件中规定的每项要求，并按我们响应文件中的承诺按期、按质、按量交付履约方</w:t>
      </w:r>
      <w:r>
        <w:rPr>
          <w:rFonts w:hint="eastAsia" w:ascii="方正仿宋_GB2312" w:eastAsia="方正仿宋_GB2312"/>
          <w:sz w:val="24"/>
        </w:rPr>
        <w:t>；</w:t>
      </w:r>
    </w:p>
    <w:p w14:paraId="61462180">
      <w:pPr>
        <w:tabs>
          <w:tab w:val="left" w:pos="1498"/>
        </w:tabs>
        <w:spacing w:line="440" w:lineRule="exact"/>
        <w:ind w:firstLine="480" w:firstLineChars="200"/>
        <w:rPr>
          <w:rFonts w:hint="eastAsia" w:ascii="宋体" w:hAnsi="宋体"/>
          <w:color w:val="000000"/>
          <w:sz w:val="24"/>
        </w:rPr>
      </w:pPr>
      <w:r>
        <w:rPr>
          <w:rFonts w:ascii="宋体" w:hAnsi="宋体"/>
          <w:color w:val="000000"/>
          <w:sz w:val="24"/>
        </w:rPr>
        <w:t>四、我们理解，最低报价不是</w:t>
      </w:r>
      <w:r>
        <w:rPr>
          <w:rFonts w:hint="eastAsia" w:ascii="宋体" w:hAnsi="宋体"/>
          <w:color w:val="000000"/>
          <w:sz w:val="24"/>
        </w:rPr>
        <w:t>中标</w:t>
      </w:r>
      <w:r>
        <w:rPr>
          <w:rFonts w:ascii="宋体" w:hAnsi="宋体"/>
          <w:color w:val="000000"/>
          <w:sz w:val="24"/>
        </w:rPr>
        <w:t>的唯一条件，贵方有选择</w:t>
      </w:r>
      <w:r>
        <w:rPr>
          <w:rFonts w:hint="eastAsia" w:ascii="宋体" w:hAnsi="宋体"/>
          <w:color w:val="000000"/>
          <w:sz w:val="24"/>
        </w:rPr>
        <w:t>中标</w:t>
      </w:r>
      <w:r>
        <w:rPr>
          <w:rFonts w:ascii="宋体" w:hAnsi="宋体"/>
          <w:color w:val="000000"/>
          <w:sz w:val="24"/>
        </w:rPr>
        <w:t>人的权利；</w:t>
      </w:r>
    </w:p>
    <w:p w14:paraId="5A800CFB">
      <w:pPr>
        <w:tabs>
          <w:tab w:val="left" w:pos="1498"/>
        </w:tabs>
        <w:spacing w:line="440" w:lineRule="exact"/>
        <w:ind w:firstLine="480" w:firstLineChars="200"/>
        <w:rPr>
          <w:rFonts w:hint="eastAsia" w:ascii="宋体" w:hAnsi="宋体"/>
          <w:color w:val="000000"/>
          <w:sz w:val="24"/>
        </w:rPr>
      </w:pPr>
      <w:r>
        <w:rPr>
          <w:rFonts w:ascii="宋体" w:hAnsi="宋体"/>
          <w:color w:val="000000"/>
          <w:sz w:val="24"/>
        </w:rPr>
        <w:t>五、我方愿按《中华人民共和国合同法》及其他有关法律、法规的规定，自觉履行自己的全部责任；</w:t>
      </w:r>
    </w:p>
    <w:p w14:paraId="7D7EDF15">
      <w:pPr>
        <w:tabs>
          <w:tab w:val="left" w:pos="1498"/>
        </w:tabs>
        <w:spacing w:line="440" w:lineRule="exact"/>
        <w:ind w:firstLine="480" w:firstLineChars="200"/>
        <w:rPr>
          <w:rFonts w:hint="eastAsia" w:ascii="宋体" w:hAnsi="宋体"/>
          <w:color w:val="FF0000"/>
          <w:sz w:val="24"/>
        </w:rPr>
      </w:pPr>
      <w:r>
        <w:rPr>
          <w:rFonts w:hint="eastAsia" w:ascii="宋体" w:hAnsi="宋体"/>
          <w:color w:val="000000"/>
          <w:sz w:val="24"/>
        </w:rPr>
        <w:t>六</w:t>
      </w:r>
      <w:r>
        <w:rPr>
          <w:rFonts w:ascii="宋体" w:hAnsi="宋体"/>
          <w:color w:val="000000"/>
          <w:sz w:val="24"/>
        </w:rPr>
        <w:t>、我方</w:t>
      </w:r>
      <w:r>
        <w:rPr>
          <w:rFonts w:hint="eastAsia" w:ascii="宋体" w:hAnsi="宋体"/>
          <w:color w:val="000000"/>
          <w:sz w:val="24"/>
        </w:rPr>
        <w:t>响应</w:t>
      </w:r>
      <w:r>
        <w:rPr>
          <w:rFonts w:ascii="宋体" w:hAnsi="宋体"/>
          <w:color w:val="000000"/>
          <w:sz w:val="24"/>
        </w:rPr>
        <w:t>代理</w:t>
      </w:r>
      <w:r>
        <w:rPr>
          <w:rFonts w:hint="eastAsia" w:ascii="宋体" w:hAnsi="宋体"/>
          <w:color w:val="000000"/>
          <w:sz w:val="24"/>
        </w:rPr>
        <w:t>招标</w:t>
      </w:r>
      <w:r>
        <w:rPr>
          <w:rFonts w:ascii="宋体" w:hAnsi="宋体"/>
          <w:color w:val="000000"/>
          <w:sz w:val="24"/>
        </w:rPr>
        <w:t>文件规定的响应有效期。</w:t>
      </w:r>
    </w:p>
    <w:p w14:paraId="07412A09">
      <w:pPr>
        <w:spacing w:line="440" w:lineRule="exact"/>
        <w:rPr>
          <w:rFonts w:hint="eastAsia" w:ascii="宋体" w:hAnsi="宋体"/>
          <w:color w:val="000000"/>
          <w:sz w:val="24"/>
        </w:rPr>
      </w:pPr>
    </w:p>
    <w:p w14:paraId="69F6430E">
      <w:pPr>
        <w:spacing w:line="440" w:lineRule="exact"/>
        <w:rPr>
          <w:rFonts w:hint="eastAsia" w:ascii="宋体" w:hAnsi="宋体"/>
          <w:color w:val="000000"/>
          <w:sz w:val="24"/>
        </w:rPr>
      </w:pPr>
    </w:p>
    <w:p w14:paraId="27775B3C">
      <w:pPr>
        <w:widowControl/>
        <w:spacing w:before="100" w:beforeAutospacing="1" w:after="100" w:afterAutospacing="1" w:line="440" w:lineRule="exact"/>
        <w:jc w:val="left"/>
        <w:rPr>
          <w:rFonts w:hint="eastAsia" w:ascii="宋体" w:hAnsi="宋体" w:cs="宋体"/>
          <w:kern w:val="0"/>
          <w:sz w:val="24"/>
        </w:rPr>
      </w:pPr>
      <w:r>
        <w:rPr>
          <w:rFonts w:hint="eastAsia" w:ascii="宋体" w:hAnsi="宋体" w:cs="宋体"/>
          <w:kern w:val="0"/>
          <w:sz w:val="24"/>
        </w:rPr>
        <w:t>法定代表人（或法定代表人授权代表）签字：</w:t>
      </w:r>
    </w:p>
    <w:p w14:paraId="28F3DCE6">
      <w:pPr>
        <w:widowControl/>
        <w:spacing w:before="100" w:beforeAutospacing="1" w:after="100" w:afterAutospacing="1" w:line="440" w:lineRule="exact"/>
        <w:jc w:val="left"/>
        <w:rPr>
          <w:rFonts w:hint="eastAsia" w:ascii="宋体" w:hAnsi="宋体" w:cs="宋体"/>
          <w:kern w:val="0"/>
          <w:sz w:val="24"/>
        </w:rPr>
      </w:pPr>
      <w:r>
        <w:rPr>
          <w:rFonts w:hint="eastAsia" w:ascii="宋体" w:hAnsi="宋体" w:cs="宋体"/>
          <w:kern w:val="0"/>
          <w:sz w:val="24"/>
        </w:rPr>
        <w:t xml:space="preserve">供应商名称（签章）： </w:t>
      </w:r>
    </w:p>
    <w:p w14:paraId="2E6E1DB3">
      <w:pPr>
        <w:widowControl/>
        <w:spacing w:before="100" w:beforeAutospacing="1" w:after="100" w:afterAutospacing="1" w:line="440" w:lineRule="exact"/>
        <w:jc w:val="left"/>
        <w:rPr>
          <w:rFonts w:hint="eastAsia" w:ascii="宋体" w:hAnsi="宋体" w:cs="宋体"/>
          <w:kern w:val="0"/>
          <w:sz w:val="24"/>
        </w:rPr>
      </w:pPr>
      <w:r>
        <w:rPr>
          <w:rFonts w:hint="eastAsia" w:ascii="宋体" w:hAnsi="宋体" w:cs="宋体"/>
          <w:kern w:val="0"/>
          <w:sz w:val="24"/>
        </w:rPr>
        <w:t xml:space="preserve">日期： 年 月 日 </w:t>
      </w:r>
    </w:p>
    <w:p w14:paraId="51763411">
      <w:pPr>
        <w:widowControl/>
        <w:spacing w:before="100" w:beforeAutospacing="1" w:after="100" w:afterAutospacing="1" w:line="440" w:lineRule="exact"/>
        <w:jc w:val="left"/>
        <w:rPr>
          <w:rFonts w:hint="eastAsia" w:ascii="宋体" w:hAnsi="宋体" w:cs="宋体"/>
          <w:kern w:val="0"/>
          <w:sz w:val="24"/>
        </w:rPr>
      </w:pPr>
    </w:p>
    <w:p w14:paraId="3EB85A6D">
      <w:pPr>
        <w:widowControl/>
        <w:spacing w:before="100" w:beforeAutospacing="1" w:after="100" w:afterAutospacing="1" w:line="440" w:lineRule="exact"/>
        <w:jc w:val="left"/>
        <w:rPr>
          <w:rFonts w:hint="eastAsia" w:ascii="宋体" w:hAnsi="宋体" w:cs="宋体"/>
          <w:kern w:val="0"/>
          <w:sz w:val="24"/>
        </w:rPr>
      </w:pPr>
    </w:p>
    <w:p w14:paraId="4171D0CE">
      <w:pPr>
        <w:widowControl/>
        <w:spacing w:before="100" w:beforeAutospacing="1" w:after="100" w:afterAutospacing="1" w:line="440" w:lineRule="exact"/>
        <w:jc w:val="left"/>
        <w:rPr>
          <w:rFonts w:hint="eastAsia" w:ascii="宋体" w:hAnsi="宋体" w:cs="宋体"/>
          <w:kern w:val="0"/>
          <w:sz w:val="24"/>
        </w:rPr>
      </w:pPr>
    </w:p>
    <w:p w14:paraId="46643412">
      <w:pPr>
        <w:widowControl/>
        <w:spacing w:before="100" w:beforeAutospacing="1" w:after="100" w:afterAutospacing="1" w:line="440" w:lineRule="exact"/>
        <w:jc w:val="left"/>
        <w:rPr>
          <w:rFonts w:hint="eastAsia" w:ascii="宋体" w:hAnsi="宋体" w:cs="宋体"/>
          <w:kern w:val="0"/>
          <w:sz w:val="24"/>
        </w:rPr>
      </w:pPr>
    </w:p>
    <w:p w14:paraId="0D2E6A16">
      <w:pPr>
        <w:widowControl/>
        <w:spacing w:before="100" w:beforeAutospacing="1" w:after="100" w:afterAutospacing="1" w:line="440" w:lineRule="exact"/>
        <w:jc w:val="left"/>
        <w:rPr>
          <w:rFonts w:hint="eastAsia" w:ascii="宋体" w:hAnsi="宋体" w:cs="宋体"/>
          <w:kern w:val="0"/>
          <w:sz w:val="24"/>
        </w:rPr>
      </w:pPr>
    </w:p>
    <w:p w14:paraId="48A895C6">
      <w:pPr>
        <w:spacing w:line="440" w:lineRule="exact"/>
        <w:jc w:val="center"/>
        <w:rPr>
          <w:rFonts w:hint="eastAsia" w:ascii="宋体" w:hAnsi="宋体" w:cs="宋体"/>
          <w:kern w:val="0"/>
          <w:sz w:val="24"/>
        </w:rPr>
      </w:pPr>
    </w:p>
    <w:p w14:paraId="0686A739">
      <w:pPr>
        <w:spacing w:line="440" w:lineRule="exact"/>
        <w:jc w:val="left"/>
        <w:rPr>
          <w:rFonts w:hint="eastAsia" w:ascii="宋体" w:hAnsi="宋体"/>
          <w:b/>
          <w:sz w:val="28"/>
          <w:szCs w:val="28"/>
        </w:rPr>
      </w:pPr>
      <w:r>
        <w:rPr>
          <w:rFonts w:hint="eastAsia" w:ascii="宋体" w:hAnsi="宋体"/>
          <w:b/>
          <w:sz w:val="28"/>
          <w:szCs w:val="28"/>
        </w:rPr>
        <w:t>二、</w:t>
      </w:r>
      <w:r>
        <w:rPr>
          <w:rFonts w:ascii="宋体" w:hAnsi="宋体"/>
          <w:b/>
          <w:sz w:val="28"/>
          <w:szCs w:val="28"/>
        </w:rPr>
        <w:t>法定代表人身份证明或授权委托书</w:t>
      </w:r>
    </w:p>
    <w:p w14:paraId="76C9E476">
      <w:pPr>
        <w:spacing w:line="440" w:lineRule="exact"/>
        <w:jc w:val="left"/>
        <w:rPr>
          <w:rFonts w:hint="eastAsia" w:ascii="宋体" w:hAnsi="宋体"/>
          <w:b/>
          <w:sz w:val="32"/>
          <w:szCs w:val="32"/>
        </w:rPr>
      </w:pPr>
    </w:p>
    <w:p w14:paraId="3A4E69E5">
      <w:pPr>
        <w:spacing w:line="440" w:lineRule="exact"/>
        <w:jc w:val="left"/>
        <w:rPr>
          <w:rFonts w:hint="eastAsia" w:ascii="宋体" w:hAnsi="宋体"/>
          <w:b/>
          <w:sz w:val="32"/>
          <w:szCs w:val="32"/>
        </w:rPr>
      </w:pPr>
    </w:p>
    <w:p w14:paraId="6D4146BD">
      <w:pPr>
        <w:spacing w:line="440" w:lineRule="exact"/>
        <w:jc w:val="center"/>
        <w:rPr>
          <w:rFonts w:hint="eastAsia" w:ascii="宋体" w:hAnsi="宋体"/>
          <w:b/>
          <w:sz w:val="32"/>
          <w:szCs w:val="32"/>
        </w:rPr>
      </w:pPr>
      <w:r>
        <w:rPr>
          <w:rFonts w:ascii="宋体" w:hAnsi="宋体"/>
          <w:b/>
          <w:sz w:val="32"/>
          <w:szCs w:val="32"/>
        </w:rPr>
        <w:t>法定代表人身份证明或授权委托书</w:t>
      </w:r>
    </w:p>
    <w:p w14:paraId="7C43A49C">
      <w:pPr>
        <w:spacing w:line="440" w:lineRule="exact"/>
        <w:rPr>
          <w:rFonts w:hint="eastAsia" w:ascii="宋体" w:hAnsi="宋体"/>
          <w:sz w:val="24"/>
        </w:rPr>
      </w:pPr>
      <w:r>
        <w:rPr>
          <w:rFonts w:ascii="宋体" w:hAnsi="宋体"/>
          <w:sz w:val="24"/>
        </w:rPr>
        <w:t>扬州市中医院：</w:t>
      </w:r>
    </w:p>
    <w:p w14:paraId="4A0F00DD">
      <w:pPr>
        <w:spacing w:line="440" w:lineRule="exact"/>
        <w:ind w:firstLine="480" w:firstLineChars="200"/>
        <w:rPr>
          <w:rFonts w:hint="eastAsia" w:ascii="宋体" w:hAnsi="宋体"/>
          <w:sz w:val="24"/>
        </w:rPr>
      </w:pPr>
      <w:r>
        <w:rPr>
          <w:rFonts w:ascii="宋体" w:hAnsi="宋体"/>
          <w:sz w:val="24"/>
          <w:u w:val="single"/>
        </w:rPr>
        <w:t xml:space="preserve">                  </w:t>
      </w:r>
      <w:r>
        <w:rPr>
          <w:rFonts w:ascii="宋体" w:hAnsi="宋体"/>
          <w:sz w:val="24"/>
        </w:rPr>
        <w:t>（单位名称）法定代表人授权我单位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CA0F26E">
      <w:pPr>
        <w:topLinePunct/>
        <w:spacing w:line="440" w:lineRule="exact"/>
        <w:rPr>
          <w:rFonts w:hint="eastAsia" w:ascii="宋体" w:hAnsi="宋体"/>
          <w:sz w:val="24"/>
        </w:rPr>
      </w:pPr>
      <w:r>
        <w:rPr>
          <w:rFonts w:ascii="宋体" w:hAnsi="宋体"/>
          <w:sz w:val="24"/>
          <w:u w:val="single"/>
        </w:rPr>
        <w:t xml:space="preserve">          </w:t>
      </w:r>
      <w:r>
        <w:rPr>
          <w:rFonts w:ascii="宋体" w:hAnsi="宋体"/>
          <w:sz w:val="24"/>
        </w:rPr>
        <w:t>（职务或职称）</w:t>
      </w:r>
      <w:r>
        <w:rPr>
          <w:rFonts w:ascii="宋体" w:hAnsi="宋体"/>
          <w:sz w:val="24"/>
          <w:u w:val="single"/>
        </w:rPr>
        <w:t xml:space="preserve">        </w:t>
      </w:r>
      <w:r>
        <w:rPr>
          <w:rFonts w:ascii="宋体" w:hAnsi="宋体"/>
          <w:sz w:val="24"/>
        </w:rPr>
        <w:t>（姓名）为我单位本次授权代理人，全权处理此次编号为</w:t>
      </w:r>
      <w:r>
        <w:rPr>
          <w:rFonts w:ascii="宋体" w:hAnsi="宋体"/>
          <w:sz w:val="24"/>
          <w:u w:val="single"/>
        </w:rPr>
        <w:t xml:space="preserve">                         </w:t>
      </w:r>
      <w:r>
        <w:rPr>
          <w:rFonts w:ascii="宋体" w:hAnsi="宋体"/>
          <w:sz w:val="24"/>
        </w:rPr>
        <w:t>项目代理</w:t>
      </w:r>
      <w:r>
        <w:rPr>
          <w:rFonts w:hint="eastAsia" w:ascii="宋体" w:hAnsi="宋体"/>
          <w:sz w:val="24"/>
        </w:rPr>
        <w:t>招标</w:t>
      </w:r>
      <w:r>
        <w:rPr>
          <w:rFonts w:ascii="宋体" w:hAnsi="宋体"/>
          <w:sz w:val="24"/>
        </w:rPr>
        <w:t>活动的一切事宜。</w:t>
      </w:r>
    </w:p>
    <w:p w14:paraId="05813F21">
      <w:pPr>
        <w:pStyle w:val="28"/>
        <w:widowControl w:val="0"/>
        <w:spacing w:before="0" w:beforeAutospacing="0" w:after="0" w:afterAutospacing="0" w:line="440" w:lineRule="exact"/>
        <w:jc w:val="both"/>
        <w:rPr>
          <w:rFonts w:hint="eastAsia" w:cs="Times New Roman"/>
        </w:rPr>
      </w:pPr>
    </w:p>
    <w:p w14:paraId="4A5F8E4F">
      <w:pPr>
        <w:spacing w:line="440" w:lineRule="exact"/>
        <w:ind w:firstLine="630"/>
        <w:rPr>
          <w:rFonts w:hint="eastAsia" w:ascii="宋体" w:hAnsi="宋体"/>
          <w:sz w:val="24"/>
        </w:rPr>
      </w:pPr>
      <w:r>
        <w:rPr>
          <w:rFonts w:ascii="宋体" w:hAnsi="宋体"/>
          <w:sz w:val="24"/>
        </w:rPr>
        <w:t>特此授权</w:t>
      </w:r>
    </w:p>
    <w:p w14:paraId="4EE344D0">
      <w:pPr>
        <w:spacing w:line="440" w:lineRule="exact"/>
        <w:ind w:firstLine="600"/>
        <w:rPr>
          <w:rFonts w:hint="eastAsia" w:ascii="宋体" w:hAnsi="宋体"/>
          <w:sz w:val="24"/>
        </w:rPr>
      </w:pPr>
      <w:r>
        <w:rPr>
          <w:rFonts w:ascii="宋体" w:hAnsi="宋体"/>
          <w:sz w:val="24"/>
        </w:rPr>
        <w:t>（附法定代表人、授权代理人身份证明复印件）</w:t>
      </w:r>
    </w:p>
    <w:p w14:paraId="7FD3D0C7">
      <w:pPr>
        <w:spacing w:line="440" w:lineRule="exact"/>
        <w:ind w:firstLine="630"/>
        <w:rPr>
          <w:rFonts w:hint="eastAsia" w:ascii="宋体" w:hAnsi="宋体"/>
          <w:sz w:val="24"/>
        </w:rPr>
      </w:pPr>
    </w:p>
    <w:p w14:paraId="7BFD4DBD">
      <w:pPr>
        <w:spacing w:line="440" w:lineRule="exact"/>
        <w:ind w:firstLine="629"/>
        <w:rPr>
          <w:rFonts w:hint="eastAsia" w:ascii="宋体" w:hAnsi="宋体"/>
          <w:sz w:val="24"/>
        </w:rPr>
      </w:pPr>
      <w:r>
        <w:rPr>
          <w:rFonts w:ascii="宋体" w:hAnsi="宋体"/>
          <w:sz w:val="24"/>
        </w:rPr>
        <w:t>单位名称（公章）：</w:t>
      </w:r>
    </w:p>
    <w:p w14:paraId="3F9C37C8">
      <w:pPr>
        <w:spacing w:line="440" w:lineRule="exact"/>
        <w:ind w:firstLine="629"/>
        <w:rPr>
          <w:rFonts w:hint="eastAsia" w:ascii="宋体" w:hAnsi="宋体"/>
          <w:sz w:val="24"/>
        </w:rPr>
      </w:pPr>
      <w:r>
        <w:rPr>
          <w:rFonts w:ascii="宋体" w:hAnsi="宋体"/>
          <w:sz w:val="24"/>
        </w:rPr>
        <w:t>法定代表人（签字或盖章）：</w:t>
      </w:r>
    </w:p>
    <w:p w14:paraId="6714D1B0">
      <w:pPr>
        <w:spacing w:line="440" w:lineRule="exact"/>
        <w:ind w:firstLine="629"/>
        <w:rPr>
          <w:rFonts w:hint="eastAsia" w:ascii="宋体" w:hAnsi="宋体"/>
          <w:sz w:val="24"/>
        </w:rPr>
      </w:pPr>
      <w:r>
        <w:rPr>
          <w:rFonts w:ascii="宋体" w:hAnsi="宋体"/>
          <w:sz w:val="24"/>
        </w:rPr>
        <w:t>法人授权代表（签字）：</w:t>
      </w:r>
    </w:p>
    <w:p w14:paraId="24BD4B91">
      <w:pPr>
        <w:spacing w:line="440" w:lineRule="exact"/>
        <w:ind w:firstLine="629"/>
        <w:rPr>
          <w:rFonts w:hint="eastAsia" w:ascii="宋体" w:hAnsi="宋体"/>
          <w:sz w:val="24"/>
        </w:rPr>
      </w:pPr>
    </w:p>
    <w:p w14:paraId="0D08D278">
      <w:pPr>
        <w:spacing w:line="440" w:lineRule="exact"/>
        <w:ind w:firstLine="629"/>
        <w:rPr>
          <w:rFonts w:hint="eastAsia" w:ascii="宋体" w:hAnsi="宋体"/>
          <w:sz w:val="24"/>
        </w:rPr>
      </w:pPr>
    </w:p>
    <w:p w14:paraId="267F0270">
      <w:pPr>
        <w:spacing w:line="440" w:lineRule="exact"/>
        <w:ind w:firstLine="629"/>
        <w:rPr>
          <w:rFonts w:hint="eastAsia" w:ascii="宋体" w:hAnsi="宋体"/>
          <w:sz w:val="24"/>
        </w:rPr>
      </w:pPr>
      <w:r>
        <w:rPr>
          <w:rFonts w:hint="eastAsia" w:ascii="宋体" w:hAnsi="宋体"/>
          <w:sz w:val="24"/>
        </w:rPr>
        <w:t>法人授权代表身份证复印件：</w:t>
      </w:r>
    </w:p>
    <w:p w14:paraId="718D490B">
      <w:pPr>
        <w:spacing w:line="440" w:lineRule="exact"/>
        <w:ind w:firstLine="629"/>
        <w:rPr>
          <w:rFonts w:hint="eastAsia" w:ascii="宋体" w:hAnsi="宋体"/>
          <w:sz w:val="24"/>
        </w:rPr>
      </w:pPr>
    </w:p>
    <w:p w14:paraId="54381A57">
      <w:pPr>
        <w:spacing w:line="440" w:lineRule="exact"/>
        <w:ind w:firstLine="629"/>
        <w:rPr>
          <w:rFonts w:hint="eastAsia" w:ascii="宋体" w:hAnsi="宋体"/>
          <w:sz w:val="24"/>
        </w:rPr>
      </w:pPr>
    </w:p>
    <w:p w14:paraId="07575273">
      <w:pPr>
        <w:spacing w:line="440" w:lineRule="exact"/>
        <w:ind w:firstLine="629"/>
        <w:rPr>
          <w:rFonts w:hint="eastAsia" w:ascii="宋体" w:hAnsi="宋体"/>
          <w:sz w:val="24"/>
        </w:rPr>
      </w:pPr>
    </w:p>
    <w:p w14:paraId="3C02CD42">
      <w:pPr>
        <w:spacing w:line="440" w:lineRule="exact"/>
        <w:ind w:firstLine="629"/>
        <w:rPr>
          <w:rFonts w:hint="eastAsia" w:ascii="宋体" w:hAnsi="宋体"/>
          <w:sz w:val="24"/>
        </w:rPr>
      </w:pPr>
    </w:p>
    <w:p w14:paraId="528941C1">
      <w:pPr>
        <w:spacing w:line="440" w:lineRule="exact"/>
        <w:ind w:firstLine="629"/>
        <w:rPr>
          <w:rFonts w:hint="eastAsia" w:ascii="宋体" w:hAnsi="宋体"/>
          <w:sz w:val="24"/>
        </w:rPr>
      </w:pPr>
    </w:p>
    <w:p w14:paraId="76AC6EB7">
      <w:pPr>
        <w:spacing w:line="440" w:lineRule="exact"/>
        <w:ind w:firstLine="629"/>
        <w:rPr>
          <w:rFonts w:hint="eastAsia" w:ascii="宋体" w:hAnsi="宋体"/>
          <w:sz w:val="24"/>
        </w:rPr>
      </w:pPr>
    </w:p>
    <w:p w14:paraId="50204802">
      <w:pPr>
        <w:spacing w:line="440" w:lineRule="exact"/>
        <w:ind w:firstLine="629"/>
        <w:rPr>
          <w:rFonts w:hint="eastAsia" w:ascii="宋体" w:hAnsi="宋体"/>
          <w:color w:val="000000"/>
          <w:sz w:val="24"/>
        </w:rPr>
      </w:pPr>
      <w:r>
        <w:rPr>
          <w:rFonts w:hint="eastAsia" w:ascii="宋体" w:hAnsi="宋体"/>
          <w:sz w:val="24"/>
        </w:rPr>
        <w:t>法人身份证复印件：</w:t>
      </w:r>
      <w:r>
        <w:rPr>
          <w:rFonts w:ascii="宋体" w:hAnsi="宋体"/>
          <w:color w:val="000000"/>
          <w:sz w:val="24"/>
        </w:rPr>
        <w:t xml:space="preserve"> </w:t>
      </w:r>
    </w:p>
    <w:p w14:paraId="0177535D">
      <w:pPr>
        <w:spacing w:line="440" w:lineRule="exact"/>
        <w:rPr>
          <w:rFonts w:hint="eastAsia" w:ascii="宋体" w:hAnsi="宋体"/>
          <w:sz w:val="24"/>
        </w:rPr>
      </w:pPr>
    </w:p>
    <w:p w14:paraId="59C5DA12">
      <w:pPr>
        <w:spacing w:line="440" w:lineRule="exact"/>
        <w:rPr>
          <w:rFonts w:hint="eastAsia" w:ascii="宋体" w:hAnsi="宋体"/>
          <w:sz w:val="24"/>
        </w:rPr>
      </w:pPr>
    </w:p>
    <w:p w14:paraId="164BC2BA">
      <w:pPr>
        <w:spacing w:line="440" w:lineRule="exact"/>
        <w:rPr>
          <w:rFonts w:hint="eastAsia" w:ascii="宋体" w:hAnsi="宋体"/>
          <w:sz w:val="24"/>
        </w:rPr>
      </w:pPr>
    </w:p>
    <w:p w14:paraId="737A24DF">
      <w:pPr>
        <w:spacing w:line="440" w:lineRule="exact"/>
        <w:rPr>
          <w:rFonts w:hint="eastAsia" w:ascii="宋体" w:hAnsi="宋体"/>
          <w:sz w:val="24"/>
        </w:rPr>
      </w:pPr>
    </w:p>
    <w:p w14:paraId="2FE56DE8">
      <w:pPr>
        <w:spacing w:line="440" w:lineRule="exact"/>
        <w:rPr>
          <w:rFonts w:hint="eastAsia" w:ascii="宋体" w:hAnsi="宋体"/>
          <w:sz w:val="24"/>
        </w:rPr>
      </w:pPr>
    </w:p>
    <w:p w14:paraId="0FB63088">
      <w:pPr>
        <w:spacing w:line="440" w:lineRule="exact"/>
        <w:rPr>
          <w:rFonts w:hint="eastAsia" w:ascii="宋体" w:hAnsi="宋体"/>
          <w:sz w:val="24"/>
        </w:rPr>
      </w:pPr>
    </w:p>
    <w:p w14:paraId="5B707D50">
      <w:pPr>
        <w:spacing w:line="440" w:lineRule="exact"/>
        <w:rPr>
          <w:rFonts w:hint="eastAsia" w:ascii="宋体" w:hAnsi="宋体"/>
          <w:sz w:val="24"/>
        </w:rPr>
      </w:pPr>
    </w:p>
    <w:p w14:paraId="058450D7">
      <w:pPr>
        <w:spacing w:line="440" w:lineRule="exact"/>
        <w:jc w:val="left"/>
        <w:rPr>
          <w:rFonts w:hint="eastAsia" w:ascii="宋体" w:hAnsi="宋体"/>
          <w:b/>
          <w:sz w:val="28"/>
          <w:szCs w:val="28"/>
        </w:rPr>
      </w:pPr>
      <w:r>
        <w:rPr>
          <w:rFonts w:hint="eastAsia" w:ascii="宋体" w:hAnsi="宋体"/>
          <w:b/>
          <w:sz w:val="28"/>
          <w:szCs w:val="28"/>
        </w:rPr>
        <w:t>三</w:t>
      </w:r>
      <w:r>
        <w:rPr>
          <w:rFonts w:ascii="宋体" w:hAnsi="宋体"/>
          <w:b/>
          <w:sz w:val="28"/>
          <w:szCs w:val="28"/>
        </w:rPr>
        <w:t>、</w:t>
      </w:r>
      <w:r>
        <w:rPr>
          <w:rFonts w:hint="eastAsia" w:ascii="宋体" w:hAnsi="宋体"/>
          <w:b/>
          <w:sz w:val="28"/>
          <w:szCs w:val="28"/>
        </w:rPr>
        <w:t>响应人</w:t>
      </w:r>
      <w:r>
        <w:rPr>
          <w:rFonts w:ascii="宋体" w:hAnsi="宋体"/>
          <w:b/>
          <w:sz w:val="28"/>
          <w:szCs w:val="28"/>
        </w:rPr>
        <w:t>营业执照副本和税务登记证复印件（或“三证合一”的营业执照或事业单位法人证书复印件）</w:t>
      </w:r>
    </w:p>
    <w:p w14:paraId="401DF55D">
      <w:pPr>
        <w:spacing w:line="440" w:lineRule="exact"/>
        <w:rPr>
          <w:rFonts w:hint="eastAsia" w:ascii="宋体" w:hAnsi="宋体"/>
          <w:sz w:val="24"/>
        </w:rPr>
      </w:pPr>
    </w:p>
    <w:p w14:paraId="585ABF89">
      <w:pPr>
        <w:spacing w:line="440" w:lineRule="exact"/>
        <w:jc w:val="left"/>
        <w:rPr>
          <w:rFonts w:hint="eastAsia" w:ascii="宋体" w:hAnsi="宋体"/>
          <w:b/>
          <w:sz w:val="28"/>
          <w:szCs w:val="28"/>
        </w:rPr>
      </w:pPr>
      <w:r>
        <w:rPr>
          <w:rFonts w:hint="eastAsia" w:ascii="宋体" w:hAnsi="宋体"/>
          <w:b/>
          <w:sz w:val="28"/>
          <w:szCs w:val="28"/>
        </w:rPr>
        <w:t>四、</w:t>
      </w:r>
      <w:r>
        <w:rPr>
          <w:rFonts w:ascii="宋体" w:hAnsi="宋体"/>
          <w:b/>
          <w:sz w:val="28"/>
          <w:szCs w:val="28"/>
        </w:rPr>
        <w:t>无重大违法行为声明</w:t>
      </w:r>
    </w:p>
    <w:p w14:paraId="2C72C0F0">
      <w:pPr>
        <w:spacing w:line="440" w:lineRule="exact"/>
        <w:jc w:val="left"/>
        <w:rPr>
          <w:rFonts w:hint="eastAsia" w:ascii="宋体" w:hAnsi="宋体"/>
          <w:b/>
          <w:sz w:val="28"/>
          <w:szCs w:val="28"/>
        </w:rPr>
      </w:pPr>
    </w:p>
    <w:p w14:paraId="49608CAE">
      <w:pPr>
        <w:pStyle w:val="143"/>
        <w:spacing w:line="440" w:lineRule="exact"/>
        <w:jc w:val="center"/>
        <w:rPr>
          <w:rFonts w:ascii="宋体"/>
          <w:b/>
          <w:bCs/>
          <w:sz w:val="32"/>
          <w:szCs w:val="32"/>
        </w:rPr>
      </w:pPr>
    </w:p>
    <w:p w14:paraId="1801D2B8">
      <w:pPr>
        <w:spacing w:line="440" w:lineRule="exact"/>
        <w:jc w:val="center"/>
        <w:rPr>
          <w:rFonts w:hint="eastAsia" w:ascii="宋体" w:hAnsi="宋体"/>
          <w:b/>
          <w:sz w:val="32"/>
          <w:szCs w:val="32"/>
        </w:rPr>
      </w:pPr>
      <w:r>
        <w:rPr>
          <w:rFonts w:ascii="宋体" w:hAnsi="宋体"/>
          <w:b/>
          <w:sz w:val="32"/>
          <w:szCs w:val="32"/>
        </w:rPr>
        <w:t>无重大违法行为声明</w:t>
      </w:r>
    </w:p>
    <w:p w14:paraId="18FD98B7">
      <w:pPr>
        <w:spacing w:line="440" w:lineRule="exact"/>
        <w:jc w:val="center"/>
        <w:rPr>
          <w:rFonts w:hint="eastAsia" w:ascii="宋体" w:hAnsi="宋体"/>
          <w:b/>
          <w:sz w:val="32"/>
          <w:szCs w:val="32"/>
        </w:rPr>
      </w:pPr>
    </w:p>
    <w:p w14:paraId="53D85CFA">
      <w:pPr>
        <w:pStyle w:val="144"/>
        <w:tabs>
          <w:tab w:val="left" w:pos="1498"/>
        </w:tabs>
        <w:spacing w:line="440" w:lineRule="exact"/>
        <w:rPr>
          <w:rFonts w:hint="eastAsia" w:ascii="宋体" w:hAnsi="宋体"/>
          <w:sz w:val="24"/>
        </w:rPr>
      </w:pPr>
      <w:r>
        <w:rPr>
          <w:rFonts w:hint="eastAsia" w:ascii="宋体" w:hAnsi="宋体"/>
          <w:sz w:val="24"/>
        </w:rPr>
        <w:t>扬州市中医院：</w:t>
      </w:r>
    </w:p>
    <w:p w14:paraId="2E73BB03">
      <w:pPr>
        <w:pStyle w:val="144"/>
        <w:spacing w:line="440" w:lineRule="exact"/>
        <w:ind w:firstLine="600"/>
        <w:rPr>
          <w:rFonts w:hint="eastAsia" w:ascii="宋体" w:hAnsi="宋体"/>
          <w:sz w:val="24"/>
        </w:rPr>
      </w:pPr>
      <w:r>
        <w:rPr>
          <w:rFonts w:hint="eastAsia" w:ascii="宋体" w:hAnsi="宋体"/>
          <w:sz w:val="24"/>
        </w:rPr>
        <w:t xml:space="preserve">我公司在参加编号为 </w:t>
      </w:r>
      <w:r>
        <w:rPr>
          <w:rFonts w:hint="eastAsia" w:ascii="宋体" w:hAnsi="宋体"/>
          <w:sz w:val="24"/>
          <w:u w:val="single"/>
        </w:rPr>
        <w:t xml:space="preserve">                        </w:t>
      </w:r>
      <w:r>
        <w:rPr>
          <w:rFonts w:hint="eastAsia" w:ascii="宋体" w:hAnsi="宋体"/>
          <w:sz w:val="24"/>
        </w:rPr>
        <w:t xml:space="preserve"> 的代理招标活动前3年内，</w:t>
      </w:r>
      <w:r>
        <w:rPr>
          <w:rFonts w:ascii="宋体" w:hAnsi="宋体"/>
          <w:sz w:val="24"/>
        </w:rPr>
        <w:t>在经营活动中没有重大违法记录</w:t>
      </w:r>
      <w:r>
        <w:rPr>
          <w:rFonts w:hint="eastAsia" w:ascii="宋体" w:hAnsi="宋体"/>
          <w:sz w:val="24"/>
        </w:rPr>
        <w:t>。</w:t>
      </w:r>
    </w:p>
    <w:p w14:paraId="28DA33EA">
      <w:pPr>
        <w:pStyle w:val="144"/>
        <w:spacing w:line="440" w:lineRule="exact"/>
        <w:ind w:firstLine="600"/>
        <w:rPr>
          <w:rFonts w:hint="eastAsia" w:ascii="宋体" w:hAnsi="宋体"/>
          <w:sz w:val="24"/>
        </w:rPr>
      </w:pPr>
      <w:r>
        <w:rPr>
          <w:rFonts w:hint="eastAsia" w:ascii="宋体" w:hAnsi="宋体"/>
          <w:sz w:val="24"/>
        </w:rPr>
        <w:t>特此声明。</w:t>
      </w:r>
    </w:p>
    <w:p w14:paraId="560658F8">
      <w:pPr>
        <w:pStyle w:val="144"/>
        <w:spacing w:line="440" w:lineRule="exact"/>
        <w:ind w:firstLine="600"/>
        <w:rPr>
          <w:rFonts w:hint="eastAsia" w:ascii="宋体" w:hAnsi="宋体"/>
          <w:sz w:val="24"/>
        </w:rPr>
      </w:pPr>
    </w:p>
    <w:p w14:paraId="4C900E71">
      <w:pPr>
        <w:pStyle w:val="144"/>
        <w:spacing w:line="440" w:lineRule="exact"/>
        <w:ind w:firstLine="600"/>
        <w:rPr>
          <w:rFonts w:hint="eastAsia" w:ascii="宋体" w:hAnsi="宋体"/>
          <w:sz w:val="24"/>
        </w:rPr>
      </w:pPr>
      <w:r>
        <w:rPr>
          <w:rFonts w:hint="eastAsia" w:ascii="宋体" w:hAnsi="宋体"/>
          <w:sz w:val="24"/>
        </w:rPr>
        <w:t>注：重大违法记录，是指供应商因违法经营受到刑事处罚或者责令停产停业、吊销许可证或者执照、较大数额罚款等行政处罚。</w:t>
      </w:r>
    </w:p>
    <w:p w14:paraId="4D86D18D">
      <w:pPr>
        <w:pStyle w:val="144"/>
        <w:spacing w:line="440" w:lineRule="exact"/>
        <w:ind w:firstLine="600"/>
        <w:rPr>
          <w:rFonts w:ascii="方正仿宋_GB2312" w:eastAsia="方正仿宋_GB2312"/>
          <w:sz w:val="24"/>
        </w:rPr>
      </w:pPr>
    </w:p>
    <w:p w14:paraId="4821F985">
      <w:pPr>
        <w:pStyle w:val="144"/>
        <w:spacing w:line="440" w:lineRule="exact"/>
        <w:ind w:firstLine="600"/>
        <w:rPr>
          <w:rFonts w:ascii="方正仿宋_GB2312" w:eastAsia="方正仿宋_GB2312"/>
          <w:sz w:val="24"/>
        </w:rPr>
      </w:pPr>
    </w:p>
    <w:p w14:paraId="5A6E415A">
      <w:pPr>
        <w:widowControl/>
        <w:spacing w:before="100" w:beforeAutospacing="1" w:after="100" w:afterAutospacing="1" w:line="440" w:lineRule="exact"/>
        <w:jc w:val="left"/>
        <w:rPr>
          <w:rFonts w:hint="eastAsia" w:ascii="宋体" w:hAnsi="宋体" w:cs="宋体"/>
          <w:kern w:val="0"/>
          <w:sz w:val="24"/>
        </w:rPr>
      </w:pPr>
      <w:r>
        <w:rPr>
          <w:rFonts w:hint="eastAsia" w:ascii="宋体" w:hAnsi="宋体" w:cs="宋体"/>
          <w:kern w:val="0"/>
          <w:sz w:val="24"/>
        </w:rPr>
        <w:t>法定代表人（或法定代表人授权代表）签字：</w:t>
      </w:r>
    </w:p>
    <w:p w14:paraId="52CDF1F6">
      <w:pPr>
        <w:widowControl/>
        <w:spacing w:before="100" w:beforeAutospacing="1" w:after="100" w:afterAutospacing="1" w:line="440" w:lineRule="exact"/>
        <w:jc w:val="left"/>
        <w:rPr>
          <w:rFonts w:hint="eastAsia" w:ascii="宋体" w:hAnsi="宋体" w:cs="宋体"/>
          <w:kern w:val="0"/>
          <w:sz w:val="24"/>
        </w:rPr>
      </w:pPr>
      <w:r>
        <w:rPr>
          <w:rFonts w:hint="eastAsia" w:ascii="宋体" w:hAnsi="宋体" w:cs="宋体"/>
          <w:kern w:val="0"/>
          <w:sz w:val="24"/>
        </w:rPr>
        <w:t xml:space="preserve">响应供应商名称（签章）： </w:t>
      </w:r>
    </w:p>
    <w:p w14:paraId="41C84328">
      <w:pPr>
        <w:widowControl/>
        <w:spacing w:before="100" w:beforeAutospacing="1" w:after="100" w:afterAutospacing="1" w:line="440" w:lineRule="exact"/>
        <w:jc w:val="left"/>
        <w:rPr>
          <w:rFonts w:hint="eastAsia" w:ascii="宋体" w:hAnsi="宋体" w:cs="宋体"/>
          <w:kern w:val="0"/>
          <w:sz w:val="24"/>
        </w:rPr>
      </w:pPr>
      <w:r>
        <w:rPr>
          <w:rFonts w:hint="eastAsia" w:ascii="宋体" w:hAnsi="宋体" w:cs="宋体"/>
          <w:kern w:val="0"/>
          <w:sz w:val="24"/>
        </w:rPr>
        <w:t xml:space="preserve">日期： 年 月 日 </w:t>
      </w:r>
    </w:p>
    <w:p w14:paraId="3AC538BD">
      <w:pPr>
        <w:spacing w:before="343" w:line="250" w:lineRule="exact"/>
        <w:rPr>
          <w:rFonts w:hint="eastAsia" w:ascii="宋体" w:hAnsi="宋体"/>
          <w:b/>
          <w:sz w:val="28"/>
          <w:szCs w:val="28"/>
        </w:rPr>
      </w:pPr>
    </w:p>
    <w:p w14:paraId="3B1E7105">
      <w:pPr>
        <w:spacing w:before="343" w:line="250" w:lineRule="exact"/>
        <w:rPr>
          <w:rFonts w:hint="eastAsia" w:ascii="宋体" w:hAnsi="宋体"/>
          <w:b/>
          <w:sz w:val="28"/>
          <w:szCs w:val="28"/>
        </w:rPr>
      </w:pPr>
    </w:p>
    <w:p w14:paraId="19E295CD">
      <w:pPr>
        <w:spacing w:before="343" w:line="250" w:lineRule="exact"/>
        <w:rPr>
          <w:rFonts w:hint="eastAsia" w:ascii="宋体" w:hAnsi="宋体"/>
          <w:b/>
          <w:sz w:val="28"/>
          <w:szCs w:val="28"/>
        </w:rPr>
      </w:pPr>
    </w:p>
    <w:p w14:paraId="249989CE">
      <w:pPr>
        <w:spacing w:before="343" w:line="250" w:lineRule="exact"/>
        <w:rPr>
          <w:rFonts w:hint="eastAsia" w:ascii="宋体" w:hAnsi="宋体"/>
          <w:b/>
          <w:sz w:val="28"/>
          <w:szCs w:val="28"/>
        </w:rPr>
      </w:pPr>
    </w:p>
    <w:p w14:paraId="31485D62">
      <w:pPr>
        <w:spacing w:before="343" w:line="250" w:lineRule="exact"/>
        <w:rPr>
          <w:rFonts w:hint="eastAsia" w:ascii="宋体" w:hAnsi="宋体"/>
          <w:b/>
          <w:sz w:val="28"/>
          <w:szCs w:val="28"/>
        </w:rPr>
      </w:pPr>
    </w:p>
    <w:p w14:paraId="40333F42">
      <w:pPr>
        <w:spacing w:before="343" w:line="250" w:lineRule="exact"/>
        <w:rPr>
          <w:rFonts w:hint="eastAsia" w:ascii="宋体" w:hAnsi="宋体"/>
          <w:b/>
          <w:sz w:val="28"/>
          <w:szCs w:val="28"/>
        </w:rPr>
      </w:pPr>
    </w:p>
    <w:p w14:paraId="00E8DD76">
      <w:pPr>
        <w:spacing w:line="440" w:lineRule="exact"/>
        <w:jc w:val="left"/>
        <w:rPr>
          <w:rFonts w:hint="eastAsia" w:ascii="宋体" w:hAnsi="宋体"/>
          <w:b/>
          <w:sz w:val="28"/>
          <w:szCs w:val="28"/>
        </w:rPr>
        <w:sectPr>
          <w:pgSz w:w="11906" w:h="16838"/>
          <w:pgMar w:top="1418" w:right="1474" w:bottom="1021" w:left="1588" w:header="851" w:footer="567" w:gutter="0"/>
          <w:cols w:space="720" w:num="1"/>
          <w:titlePg/>
          <w:docGrid w:type="lines" w:linePitch="312" w:charSpace="0"/>
        </w:sectPr>
      </w:pPr>
    </w:p>
    <w:p w14:paraId="12E2D097">
      <w:pPr>
        <w:spacing w:line="440" w:lineRule="exact"/>
        <w:jc w:val="left"/>
        <w:rPr>
          <w:rFonts w:hint="eastAsia" w:ascii="宋体" w:hAnsi="宋体"/>
          <w:b/>
          <w:sz w:val="28"/>
          <w:szCs w:val="28"/>
        </w:rPr>
      </w:pPr>
      <w:r>
        <w:rPr>
          <w:rFonts w:hint="eastAsia" w:ascii="宋体" w:hAnsi="宋体"/>
          <w:b/>
          <w:sz w:val="28"/>
          <w:szCs w:val="28"/>
        </w:rPr>
        <w:t>五、报价一览表</w:t>
      </w:r>
    </w:p>
    <w:p w14:paraId="2268EBE7">
      <w:pPr>
        <w:widowControl/>
        <w:spacing w:before="100" w:beforeAutospacing="1" w:after="100" w:afterAutospacing="1" w:line="440" w:lineRule="exact"/>
        <w:jc w:val="left"/>
        <w:rPr>
          <w:rFonts w:hint="eastAsia" w:ascii="宋体" w:hAnsi="宋体" w:cs="宋体"/>
          <w:kern w:val="0"/>
          <w:sz w:val="24"/>
        </w:rPr>
      </w:pPr>
      <w:r>
        <w:rPr>
          <w:rFonts w:hint="eastAsia" w:ascii="宋体" w:hAnsi="宋体" w:cs="宋体"/>
          <w:kern w:val="0"/>
          <w:sz w:val="24"/>
        </w:rPr>
        <w:t>扬州市中医院手术室空调管道改造费用报价：人民币</w:t>
      </w:r>
      <w:r>
        <w:rPr>
          <w:rFonts w:hint="eastAsia" w:ascii="宋体" w:hAnsi="宋体" w:cs="宋体"/>
          <w:kern w:val="0"/>
          <w:sz w:val="24"/>
          <w:u w:val="single"/>
        </w:rPr>
        <w:t xml:space="preserve">             </w:t>
      </w:r>
      <w:r>
        <w:rPr>
          <w:rFonts w:hint="eastAsia" w:ascii="宋体" w:hAnsi="宋体" w:cs="宋体"/>
          <w:kern w:val="0"/>
          <w:sz w:val="24"/>
        </w:rPr>
        <w:t>元。</w:t>
      </w:r>
    </w:p>
    <w:p w14:paraId="2E2EB57E">
      <w:pPr>
        <w:widowControl/>
        <w:spacing w:before="100" w:beforeAutospacing="1" w:after="100" w:afterAutospacing="1" w:line="440" w:lineRule="exact"/>
        <w:jc w:val="left"/>
        <w:rPr>
          <w:rFonts w:hint="eastAsia" w:ascii="宋体" w:hAnsi="宋体" w:cs="宋体"/>
          <w:kern w:val="0"/>
          <w:sz w:val="24"/>
        </w:rPr>
      </w:pPr>
      <w:r>
        <w:rPr>
          <w:rFonts w:hint="eastAsia" w:ascii="宋体" w:hAnsi="宋体" w:cs="宋体"/>
          <w:kern w:val="0"/>
          <w:sz w:val="24"/>
        </w:rPr>
        <w:t>大写：</w:t>
      </w:r>
      <w:r>
        <w:rPr>
          <w:rFonts w:hint="eastAsia" w:ascii="宋体" w:hAnsi="宋体" w:cs="宋体"/>
          <w:kern w:val="0"/>
          <w:sz w:val="24"/>
          <w:u w:val="single"/>
        </w:rPr>
        <w:t xml:space="preserve">                    </w:t>
      </w:r>
      <w:r>
        <w:rPr>
          <w:rFonts w:hint="eastAsia" w:ascii="宋体" w:hAnsi="宋体" w:cs="宋体"/>
          <w:kern w:val="0"/>
          <w:sz w:val="24"/>
        </w:rPr>
        <w:t>元整。</w:t>
      </w:r>
    </w:p>
    <w:p w14:paraId="50F55B92">
      <w:pPr>
        <w:widowControl/>
        <w:spacing w:before="100" w:beforeAutospacing="1" w:after="100" w:afterAutospacing="1" w:line="440" w:lineRule="exact"/>
        <w:jc w:val="left"/>
        <w:rPr>
          <w:rFonts w:hint="eastAsia" w:ascii="宋体" w:hAnsi="宋体" w:cs="宋体"/>
          <w:kern w:val="0"/>
          <w:sz w:val="24"/>
        </w:rPr>
      </w:pPr>
    </w:p>
    <w:p w14:paraId="6FC6BDBD">
      <w:pPr>
        <w:widowControl/>
        <w:spacing w:before="100" w:beforeAutospacing="1" w:after="100" w:afterAutospacing="1" w:line="440" w:lineRule="exact"/>
        <w:jc w:val="left"/>
        <w:rPr>
          <w:rFonts w:hint="eastAsia" w:ascii="宋体" w:hAnsi="宋体" w:cs="宋体"/>
          <w:kern w:val="0"/>
          <w:sz w:val="24"/>
        </w:rPr>
      </w:pPr>
      <w:r>
        <w:rPr>
          <w:rFonts w:hint="eastAsia" w:ascii="宋体" w:hAnsi="宋体" w:cs="宋体"/>
          <w:kern w:val="0"/>
          <w:sz w:val="24"/>
        </w:rPr>
        <w:t>法定代表人（或法定代表人授权代表）签字：</w:t>
      </w:r>
    </w:p>
    <w:p w14:paraId="3669E35D">
      <w:pPr>
        <w:widowControl/>
        <w:spacing w:before="100" w:beforeAutospacing="1" w:after="100" w:afterAutospacing="1" w:line="440" w:lineRule="exact"/>
        <w:jc w:val="left"/>
        <w:rPr>
          <w:rFonts w:hint="eastAsia" w:ascii="宋体" w:hAnsi="宋体" w:cs="宋体"/>
          <w:kern w:val="0"/>
          <w:sz w:val="24"/>
        </w:rPr>
      </w:pPr>
      <w:r>
        <w:rPr>
          <w:rFonts w:hint="eastAsia" w:ascii="宋体" w:hAnsi="宋体" w:cs="宋体"/>
          <w:kern w:val="0"/>
          <w:sz w:val="24"/>
        </w:rPr>
        <w:t xml:space="preserve">供应商名称（签章）： </w:t>
      </w:r>
    </w:p>
    <w:p w14:paraId="2CEF3426">
      <w:pPr>
        <w:tabs>
          <w:tab w:val="left" w:pos="2772"/>
        </w:tabs>
        <w:spacing w:line="300" w:lineRule="auto"/>
        <w:rPr>
          <w:rFonts w:hint="eastAsia" w:ascii="宋体" w:hAnsi="宋体"/>
          <w:sz w:val="24"/>
          <w:szCs w:val="24"/>
        </w:rPr>
      </w:pPr>
      <w:r>
        <w:rPr>
          <w:rFonts w:hint="eastAsia" w:ascii="宋体" w:hAnsi="宋体" w:cs="宋体"/>
          <w:kern w:val="0"/>
          <w:sz w:val="24"/>
        </w:rPr>
        <w:t>日期： 年   月   日</w:t>
      </w:r>
    </w:p>
    <w:sectPr>
      <w:pgSz w:w="11906" w:h="16838"/>
      <w:pgMar w:top="1418" w:right="1474" w:bottom="1021" w:left="1588" w:header="851" w:footer="567"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C2149ED-1228-4A62-A1A1-5EDE223E0B1B}"/>
  </w:font>
  <w:font w:name="黑体">
    <w:panose1 w:val="02010609060101010101"/>
    <w:charset w:val="86"/>
    <w:family w:val="auto"/>
    <w:pitch w:val="default"/>
    <w:sig w:usb0="800002BF" w:usb1="38CF7CFA" w:usb2="00000016" w:usb3="00000000" w:csb0="00040001" w:csb1="00000000"/>
    <w:embedRegular r:id="rId2" w:fontKey="{971C73B4-9A05-4BE4-A388-0F681C8257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3" w:fontKey="{70F9949A-16ED-4689-A43E-1F0EB06C46A6}"/>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Wonder Arial">
    <w:panose1 w:val="00000500000000000000"/>
    <w:charset w:val="00"/>
    <w:family w:val="auto"/>
    <w:pitch w:val="default"/>
    <w:sig w:usb0="00000003" w:usb1="00000000" w:usb2="00000000" w:usb3="00000000" w:csb0="0000001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embedRegular r:id="rId4" w:fontKey="{E188F4A6-0294-4F8D-9D3E-9AE9EFF2E793}"/>
  </w:font>
  <w:font w:name="华文楷体">
    <w:panose1 w:val="02010600040101010101"/>
    <w:charset w:val="86"/>
    <w:family w:val="auto"/>
    <w:pitch w:val="default"/>
    <w:sig w:usb0="00000287" w:usb1="080F0000" w:usb2="00000000" w:usb3="00000000" w:csb0="0004009F" w:csb1="DFD70000"/>
    <w:embedRegular r:id="rId5" w:fontKey="{D7934BFD-D021-4610-99FD-71B76620060F}"/>
  </w:font>
  <w:font w:name="方正小标宋_GBK">
    <w:panose1 w:val="02000000000000000000"/>
    <w:charset w:val="86"/>
    <w:family w:val="script"/>
    <w:pitch w:val="default"/>
    <w:sig w:usb0="A00002BF" w:usb1="38CF7CFA" w:usb2="00082016" w:usb3="00000000" w:csb0="00040001" w:csb1="00000000"/>
    <w:embedRegular r:id="rId6" w:fontKey="{26F06B41-5E3D-4923-AFAF-66886482B6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93BBE">
    <w:pPr>
      <w:pStyle w:val="21"/>
      <w:jc w:val="center"/>
    </w:pPr>
  </w:p>
  <w:p w14:paraId="0985DA5E">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2B387">
    <w:pPr>
      <w:pStyle w:val="21"/>
      <w:jc w:val="center"/>
    </w:pPr>
  </w:p>
  <w:p w14:paraId="6A1E1F8D">
    <w:pPr>
      <w:pStyle w:val="21"/>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68FF6">
    <w:pPr>
      <w:pStyle w:val="21"/>
      <w:jc w:val="center"/>
    </w:pPr>
  </w:p>
  <w:p w14:paraId="236DB0F4">
    <w:pPr>
      <w:pStyle w:val="2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48BA5">
    <w:pPr>
      <w:pStyle w:val="21"/>
      <w:jc w:val="center"/>
    </w:pPr>
  </w:p>
  <w:p w14:paraId="22CE28E3">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064F3">
    <w:pPr>
      <w:pStyle w:val="22"/>
    </w:pPr>
    <w:r>
      <w:rPr>
        <w:rFonts w:hint="eastAsia"/>
      </w:rPr>
      <w:t>扬州市中医院</w:t>
    </w:r>
  </w:p>
  <w:p w14:paraId="702DB69C">
    <w:pPr>
      <w:pStyle w:val="22"/>
      <w:jc w:val="lef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3EE61">
    <w:pPr>
      <w:pStyle w:val="22"/>
    </w:pPr>
    <w:r>
      <w:rPr>
        <w:rFonts w:hint="eastAsia"/>
      </w:rPr>
      <w:t>扬州市中医院</w:t>
    </w:r>
  </w:p>
  <w:p w14:paraId="3D6CF327">
    <w:pPr>
      <w:pStyle w:val="22"/>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54E55"/>
    <w:multiLevelType w:val="singleLevel"/>
    <w:tmpl w:val="81954E55"/>
    <w:lvl w:ilvl="0" w:tentative="0">
      <w:start w:val="10"/>
      <w:numFmt w:val="chineseCounting"/>
      <w:suff w:val="nothing"/>
      <w:lvlText w:val="%1、"/>
      <w:lvlJc w:val="left"/>
      <w:rPr>
        <w:rFonts w:hint="eastAsia"/>
      </w:rPr>
    </w:lvl>
  </w:abstractNum>
  <w:abstractNum w:abstractNumId="1">
    <w:nsid w:val="92EC147B"/>
    <w:multiLevelType w:val="singleLevel"/>
    <w:tmpl w:val="92EC147B"/>
    <w:lvl w:ilvl="0" w:tentative="0">
      <w:start w:val="1"/>
      <w:numFmt w:val="decimal"/>
      <w:suff w:val="nothing"/>
      <w:lvlText w:val="%1、"/>
      <w:lvlJc w:val="left"/>
    </w:lvl>
  </w:abstractNum>
  <w:abstractNum w:abstractNumId="2">
    <w:nsid w:val="99F9E0D9"/>
    <w:multiLevelType w:val="singleLevel"/>
    <w:tmpl w:val="99F9E0D9"/>
    <w:lvl w:ilvl="0" w:tentative="0">
      <w:start w:val="1"/>
      <w:numFmt w:val="decimal"/>
      <w:suff w:val="nothing"/>
      <w:lvlText w:val="%1、"/>
      <w:lvlJc w:val="left"/>
    </w:lvl>
  </w:abstractNum>
  <w:abstractNum w:abstractNumId="3">
    <w:nsid w:val="A7D4E738"/>
    <w:multiLevelType w:val="singleLevel"/>
    <w:tmpl w:val="A7D4E738"/>
    <w:lvl w:ilvl="0" w:tentative="0">
      <w:start w:val="1"/>
      <w:numFmt w:val="decimal"/>
      <w:suff w:val="nothing"/>
      <w:lvlText w:val="%1、"/>
      <w:lvlJc w:val="left"/>
    </w:lvl>
  </w:abstractNum>
  <w:abstractNum w:abstractNumId="4">
    <w:nsid w:val="DAF3CA38"/>
    <w:multiLevelType w:val="singleLevel"/>
    <w:tmpl w:val="DAF3CA38"/>
    <w:lvl w:ilvl="0" w:tentative="0">
      <w:start w:val="1"/>
      <w:numFmt w:val="decimal"/>
      <w:suff w:val="nothing"/>
      <w:lvlText w:val="%1、"/>
      <w:lvlJc w:val="left"/>
    </w:lvl>
  </w:abstractNum>
  <w:abstractNum w:abstractNumId="5">
    <w:nsid w:val="4C1AFCE4"/>
    <w:multiLevelType w:val="singleLevel"/>
    <w:tmpl w:val="4C1AFCE4"/>
    <w:lvl w:ilvl="0" w:tentative="0">
      <w:start w:val="1"/>
      <w:numFmt w:val="decimal"/>
      <w:suff w:val="nothing"/>
      <w:lvlText w:val="%1、"/>
      <w:lvlJc w:val="left"/>
    </w:lvl>
  </w:abstractNum>
  <w:abstractNum w:abstractNumId="6">
    <w:nsid w:val="7E7340C9"/>
    <w:multiLevelType w:val="singleLevel"/>
    <w:tmpl w:val="7E7340C9"/>
    <w:lvl w:ilvl="0" w:tentative="0">
      <w:start w:val="3"/>
      <w:numFmt w:val="decimal"/>
      <w:suff w:val="nothing"/>
      <w:lvlText w:val="%1、"/>
      <w:lvlJc w:val="left"/>
    </w:lvl>
  </w:abstractNum>
  <w:num w:numId="1">
    <w:abstractNumId w:val="6"/>
  </w:num>
  <w:num w:numId="2">
    <w:abstractNumId w:val="1"/>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NotTrackMove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MmFkOGU2YTk0MGUzODY4ODZkZDk2NTk4YjFjZjEifQ=="/>
  </w:docVars>
  <w:rsids>
    <w:rsidRoot w:val="0006063B"/>
    <w:rsid w:val="000001D5"/>
    <w:rsid w:val="00007C14"/>
    <w:rsid w:val="00012AA8"/>
    <w:rsid w:val="000131B8"/>
    <w:rsid w:val="000140C6"/>
    <w:rsid w:val="00025FE8"/>
    <w:rsid w:val="000367B5"/>
    <w:rsid w:val="00037BBE"/>
    <w:rsid w:val="00040094"/>
    <w:rsid w:val="0004306C"/>
    <w:rsid w:val="00046D28"/>
    <w:rsid w:val="00052646"/>
    <w:rsid w:val="00053B95"/>
    <w:rsid w:val="000552A9"/>
    <w:rsid w:val="0006063B"/>
    <w:rsid w:val="000621E6"/>
    <w:rsid w:val="000631AC"/>
    <w:rsid w:val="0006636F"/>
    <w:rsid w:val="00075052"/>
    <w:rsid w:val="0007720F"/>
    <w:rsid w:val="00077384"/>
    <w:rsid w:val="00097BE9"/>
    <w:rsid w:val="000A4BEF"/>
    <w:rsid w:val="000B10D8"/>
    <w:rsid w:val="000B15EE"/>
    <w:rsid w:val="000B3146"/>
    <w:rsid w:val="000C13F2"/>
    <w:rsid w:val="000C30A7"/>
    <w:rsid w:val="000C48A8"/>
    <w:rsid w:val="000E5445"/>
    <w:rsid w:val="000E647D"/>
    <w:rsid w:val="000E6568"/>
    <w:rsid w:val="000E6C2B"/>
    <w:rsid w:val="000E6F37"/>
    <w:rsid w:val="000F7280"/>
    <w:rsid w:val="000F7B6D"/>
    <w:rsid w:val="00100CCF"/>
    <w:rsid w:val="00124F77"/>
    <w:rsid w:val="00131304"/>
    <w:rsid w:val="00151E09"/>
    <w:rsid w:val="00152AF5"/>
    <w:rsid w:val="001548B0"/>
    <w:rsid w:val="00160D7C"/>
    <w:rsid w:val="001668A3"/>
    <w:rsid w:val="0017288D"/>
    <w:rsid w:val="00186874"/>
    <w:rsid w:val="00187CE9"/>
    <w:rsid w:val="001925A2"/>
    <w:rsid w:val="001A1CAD"/>
    <w:rsid w:val="001B097D"/>
    <w:rsid w:val="001B3FA8"/>
    <w:rsid w:val="001C0C22"/>
    <w:rsid w:val="001C120F"/>
    <w:rsid w:val="001C2972"/>
    <w:rsid w:val="001D02F9"/>
    <w:rsid w:val="001D6935"/>
    <w:rsid w:val="001E1EBF"/>
    <w:rsid w:val="001E3347"/>
    <w:rsid w:val="001E4744"/>
    <w:rsid w:val="001E5AD4"/>
    <w:rsid w:val="001E619A"/>
    <w:rsid w:val="001F30F7"/>
    <w:rsid w:val="00200E3D"/>
    <w:rsid w:val="00207F75"/>
    <w:rsid w:val="002102AA"/>
    <w:rsid w:val="00213CE1"/>
    <w:rsid w:val="00217E4D"/>
    <w:rsid w:val="00223138"/>
    <w:rsid w:val="002338B8"/>
    <w:rsid w:val="00245356"/>
    <w:rsid w:val="00246839"/>
    <w:rsid w:val="0025402D"/>
    <w:rsid w:val="002561A1"/>
    <w:rsid w:val="00257A7B"/>
    <w:rsid w:val="0026204D"/>
    <w:rsid w:val="0026488F"/>
    <w:rsid w:val="00265F04"/>
    <w:rsid w:val="00274E01"/>
    <w:rsid w:val="00275B5A"/>
    <w:rsid w:val="00276001"/>
    <w:rsid w:val="002824B3"/>
    <w:rsid w:val="00290E7F"/>
    <w:rsid w:val="00291410"/>
    <w:rsid w:val="002927BF"/>
    <w:rsid w:val="00294588"/>
    <w:rsid w:val="00297118"/>
    <w:rsid w:val="002A1148"/>
    <w:rsid w:val="002B1A7C"/>
    <w:rsid w:val="002B576E"/>
    <w:rsid w:val="002B61A8"/>
    <w:rsid w:val="002C355B"/>
    <w:rsid w:val="002C38F6"/>
    <w:rsid w:val="002C647B"/>
    <w:rsid w:val="002C6E3A"/>
    <w:rsid w:val="002D2295"/>
    <w:rsid w:val="002D235F"/>
    <w:rsid w:val="002D24F3"/>
    <w:rsid w:val="002E6E2E"/>
    <w:rsid w:val="002F45F9"/>
    <w:rsid w:val="00300320"/>
    <w:rsid w:val="00307FAB"/>
    <w:rsid w:val="003141A3"/>
    <w:rsid w:val="0031477A"/>
    <w:rsid w:val="003158E5"/>
    <w:rsid w:val="00317420"/>
    <w:rsid w:val="00317599"/>
    <w:rsid w:val="00322A67"/>
    <w:rsid w:val="003273CF"/>
    <w:rsid w:val="00337B92"/>
    <w:rsid w:val="00341C57"/>
    <w:rsid w:val="00341F7A"/>
    <w:rsid w:val="00344118"/>
    <w:rsid w:val="0034782C"/>
    <w:rsid w:val="0035477F"/>
    <w:rsid w:val="00356E13"/>
    <w:rsid w:val="003630B6"/>
    <w:rsid w:val="00364820"/>
    <w:rsid w:val="00367BFE"/>
    <w:rsid w:val="00373256"/>
    <w:rsid w:val="00380023"/>
    <w:rsid w:val="00382100"/>
    <w:rsid w:val="00382603"/>
    <w:rsid w:val="0039120E"/>
    <w:rsid w:val="003918EA"/>
    <w:rsid w:val="00391D7F"/>
    <w:rsid w:val="00393315"/>
    <w:rsid w:val="00394926"/>
    <w:rsid w:val="003A3D99"/>
    <w:rsid w:val="003B656A"/>
    <w:rsid w:val="003C242C"/>
    <w:rsid w:val="003C52AA"/>
    <w:rsid w:val="003D1EB7"/>
    <w:rsid w:val="003D3BEF"/>
    <w:rsid w:val="003D52E9"/>
    <w:rsid w:val="003E2D67"/>
    <w:rsid w:val="003E7B8C"/>
    <w:rsid w:val="003F1575"/>
    <w:rsid w:val="003F216B"/>
    <w:rsid w:val="003F5F12"/>
    <w:rsid w:val="003F618F"/>
    <w:rsid w:val="003F7E44"/>
    <w:rsid w:val="00407033"/>
    <w:rsid w:val="0041411A"/>
    <w:rsid w:val="004202BB"/>
    <w:rsid w:val="004202C3"/>
    <w:rsid w:val="00442E9F"/>
    <w:rsid w:val="00456E8C"/>
    <w:rsid w:val="0046700E"/>
    <w:rsid w:val="00473499"/>
    <w:rsid w:val="0047557F"/>
    <w:rsid w:val="00480421"/>
    <w:rsid w:val="00484DA7"/>
    <w:rsid w:val="0049199B"/>
    <w:rsid w:val="004A2DC3"/>
    <w:rsid w:val="004A3800"/>
    <w:rsid w:val="004A6EE7"/>
    <w:rsid w:val="004A747B"/>
    <w:rsid w:val="004B110D"/>
    <w:rsid w:val="004B6D74"/>
    <w:rsid w:val="004B7FE4"/>
    <w:rsid w:val="004C0C32"/>
    <w:rsid w:val="004C2909"/>
    <w:rsid w:val="004D02CE"/>
    <w:rsid w:val="004D6FE4"/>
    <w:rsid w:val="004E461F"/>
    <w:rsid w:val="004E759A"/>
    <w:rsid w:val="004F053E"/>
    <w:rsid w:val="0050334D"/>
    <w:rsid w:val="00505B02"/>
    <w:rsid w:val="005075D6"/>
    <w:rsid w:val="00515B17"/>
    <w:rsid w:val="00517428"/>
    <w:rsid w:val="00520F7B"/>
    <w:rsid w:val="00524471"/>
    <w:rsid w:val="00530459"/>
    <w:rsid w:val="00530F03"/>
    <w:rsid w:val="00532C38"/>
    <w:rsid w:val="005336A4"/>
    <w:rsid w:val="0053407E"/>
    <w:rsid w:val="00534F2D"/>
    <w:rsid w:val="00542CA5"/>
    <w:rsid w:val="00545D69"/>
    <w:rsid w:val="00547AB5"/>
    <w:rsid w:val="00550089"/>
    <w:rsid w:val="0055135B"/>
    <w:rsid w:val="0055203C"/>
    <w:rsid w:val="005550EA"/>
    <w:rsid w:val="00555438"/>
    <w:rsid w:val="00556AB7"/>
    <w:rsid w:val="00557D51"/>
    <w:rsid w:val="00567775"/>
    <w:rsid w:val="00575178"/>
    <w:rsid w:val="00586524"/>
    <w:rsid w:val="005913F3"/>
    <w:rsid w:val="00593CA6"/>
    <w:rsid w:val="005A55B4"/>
    <w:rsid w:val="005A70D7"/>
    <w:rsid w:val="005B2FBE"/>
    <w:rsid w:val="005B4B74"/>
    <w:rsid w:val="005C3EC1"/>
    <w:rsid w:val="005D223E"/>
    <w:rsid w:val="005E7F8C"/>
    <w:rsid w:val="005F1132"/>
    <w:rsid w:val="005F2883"/>
    <w:rsid w:val="005F6958"/>
    <w:rsid w:val="00601DD2"/>
    <w:rsid w:val="00603675"/>
    <w:rsid w:val="006045CE"/>
    <w:rsid w:val="006074B3"/>
    <w:rsid w:val="00611517"/>
    <w:rsid w:val="00612C16"/>
    <w:rsid w:val="00615C84"/>
    <w:rsid w:val="00615D55"/>
    <w:rsid w:val="00623582"/>
    <w:rsid w:val="00624079"/>
    <w:rsid w:val="00636C89"/>
    <w:rsid w:val="00636F36"/>
    <w:rsid w:val="00640839"/>
    <w:rsid w:val="00642377"/>
    <w:rsid w:val="00642EF8"/>
    <w:rsid w:val="0064506A"/>
    <w:rsid w:val="0064530E"/>
    <w:rsid w:val="00646778"/>
    <w:rsid w:val="006537A1"/>
    <w:rsid w:val="00657953"/>
    <w:rsid w:val="00657BF6"/>
    <w:rsid w:val="00667990"/>
    <w:rsid w:val="0067024C"/>
    <w:rsid w:val="00670E03"/>
    <w:rsid w:val="00671D57"/>
    <w:rsid w:val="00673216"/>
    <w:rsid w:val="00677905"/>
    <w:rsid w:val="006827A4"/>
    <w:rsid w:val="0068435A"/>
    <w:rsid w:val="006846D9"/>
    <w:rsid w:val="00686126"/>
    <w:rsid w:val="00686632"/>
    <w:rsid w:val="00690524"/>
    <w:rsid w:val="006957C1"/>
    <w:rsid w:val="006A03ED"/>
    <w:rsid w:val="006A7866"/>
    <w:rsid w:val="006C6758"/>
    <w:rsid w:val="006D09BE"/>
    <w:rsid w:val="006D18CB"/>
    <w:rsid w:val="006D1A17"/>
    <w:rsid w:val="006E05D4"/>
    <w:rsid w:val="006E36E1"/>
    <w:rsid w:val="006E4F35"/>
    <w:rsid w:val="006E6A56"/>
    <w:rsid w:val="006F0248"/>
    <w:rsid w:val="00710999"/>
    <w:rsid w:val="00712947"/>
    <w:rsid w:val="00712F4A"/>
    <w:rsid w:val="00713547"/>
    <w:rsid w:val="007154AB"/>
    <w:rsid w:val="00715547"/>
    <w:rsid w:val="00716113"/>
    <w:rsid w:val="00716537"/>
    <w:rsid w:val="00716C5A"/>
    <w:rsid w:val="00717E0B"/>
    <w:rsid w:val="00726A2E"/>
    <w:rsid w:val="00727D10"/>
    <w:rsid w:val="0073255D"/>
    <w:rsid w:val="00733678"/>
    <w:rsid w:val="00735C05"/>
    <w:rsid w:val="00742B47"/>
    <w:rsid w:val="00742CB8"/>
    <w:rsid w:val="007501AD"/>
    <w:rsid w:val="00750D81"/>
    <w:rsid w:val="00750DC7"/>
    <w:rsid w:val="007521D0"/>
    <w:rsid w:val="00770D2A"/>
    <w:rsid w:val="00774BAA"/>
    <w:rsid w:val="00774D09"/>
    <w:rsid w:val="007804E0"/>
    <w:rsid w:val="00781C38"/>
    <w:rsid w:val="00782A48"/>
    <w:rsid w:val="00783613"/>
    <w:rsid w:val="007A1A82"/>
    <w:rsid w:val="007B0687"/>
    <w:rsid w:val="007B0C2D"/>
    <w:rsid w:val="007C50D4"/>
    <w:rsid w:val="007C53DC"/>
    <w:rsid w:val="007D767C"/>
    <w:rsid w:val="007E47EC"/>
    <w:rsid w:val="00802C73"/>
    <w:rsid w:val="00803F4A"/>
    <w:rsid w:val="008044C1"/>
    <w:rsid w:val="008057C0"/>
    <w:rsid w:val="00807C70"/>
    <w:rsid w:val="008112A7"/>
    <w:rsid w:val="00814CD7"/>
    <w:rsid w:val="00824D2B"/>
    <w:rsid w:val="00825C1E"/>
    <w:rsid w:val="00830A45"/>
    <w:rsid w:val="008325C5"/>
    <w:rsid w:val="00836252"/>
    <w:rsid w:val="00844E91"/>
    <w:rsid w:val="008472E4"/>
    <w:rsid w:val="00847E33"/>
    <w:rsid w:val="008508E1"/>
    <w:rsid w:val="008510F9"/>
    <w:rsid w:val="008526DB"/>
    <w:rsid w:val="00852C23"/>
    <w:rsid w:val="00853BC0"/>
    <w:rsid w:val="008707F9"/>
    <w:rsid w:val="008732C5"/>
    <w:rsid w:val="00883419"/>
    <w:rsid w:val="00884F49"/>
    <w:rsid w:val="00891A62"/>
    <w:rsid w:val="008941DB"/>
    <w:rsid w:val="00894BF6"/>
    <w:rsid w:val="008B3571"/>
    <w:rsid w:val="008B4E5E"/>
    <w:rsid w:val="008C3E04"/>
    <w:rsid w:val="008C56C5"/>
    <w:rsid w:val="008D3932"/>
    <w:rsid w:val="008E1070"/>
    <w:rsid w:val="008E4118"/>
    <w:rsid w:val="008F648E"/>
    <w:rsid w:val="009050D8"/>
    <w:rsid w:val="009054A7"/>
    <w:rsid w:val="0091745D"/>
    <w:rsid w:val="00920A3D"/>
    <w:rsid w:val="00922DFE"/>
    <w:rsid w:val="00923EAD"/>
    <w:rsid w:val="0093520C"/>
    <w:rsid w:val="00935876"/>
    <w:rsid w:val="00935892"/>
    <w:rsid w:val="00935E41"/>
    <w:rsid w:val="00936520"/>
    <w:rsid w:val="00940277"/>
    <w:rsid w:val="009428DB"/>
    <w:rsid w:val="0094404E"/>
    <w:rsid w:val="00947C7E"/>
    <w:rsid w:val="009509E5"/>
    <w:rsid w:val="00953EEA"/>
    <w:rsid w:val="00954B06"/>
    <w:rsid w:val="009639C2"/>
    <w:rsid w:val="009660D9"/>
    <w:rsid w:val="009768F1"/>
    <w:rsid w:val="0098345A"/>
    <w:rsid w:val="009A2654"/>
    <w:rsid w:val="009A66C8"/>
    <w:rsid w:val="009C3A50"/>
    <w:rsid w:val="009E1632"/>
    <w:rsid w:val="009E3B5A"/>
    <w:rsid w:val="009F3690"/>
    <w:rsid w:val="009F4D8A"/>
    <w:rsid w:val="00A032E2"/>
    <w:rsid w:val="00A04F5B"/>
    <w:rsid w:val="00A07330"/>
    <w:rsid w:val="00A12F5F"/>
    <w:rsid w:val="00A16C51"/>
    <w:rsid w:val="00A16DF6"/>
    <w:rsid w:val="00A20B5D"/>
    <w:rsid w:val="00A20DE9"/>
    <w:rsid w:val="00A2445D"/>
    <w:rsid w:val="00A2541F"/>
    <w:rsid w:val="00A26486"/>
    <w:rsid w:val="00A27216"/>
    <w:rsid w:val="00A31341"/>
    <w:rsid w:val="00A32296"/>
    <w:rsid w:val="00A33DB2"/>
    <w:rsid w:val="00A347A3"/>
    <w:rsid w:val="00A351AD"/>
    <w:rsid w:val="00A3671B"/>
    <w:rsid w:val="00A4262A"/>
    <w:rsid w:val="00A53C5F"/>
    <w:rsid w:val="00A55281"/>
    <w:rsid w:val="00A55E4D"/>
    <w:rsid w:val="00A65B27"/>
    <w:rsid w:val="00A66C99"/>
    <w:rsid w:val="00A67679"/>
    <w:rsid w:val="00A82DAB"/>
    <w:rsid w:val="00A83DBA"/>
    <w:rsid w:val="00A87692"/>
    <w:rsid w:val="00A94099"/>
    <w:rsid w:val="00A95926"/>
    <w:rsid w:val="00AA4F13"/>
    <w:rsid w:val="00AB0FFF"/>
    <w:rsid w:val="00AB2DD1"/>
    <w:rsid w:val="00AB512E"/>
    <w:rsid w:val="00AB54FD"/>
    <w:rsid w:val="00AB7251"/>
    <w:rsid w:val="00AB761E"/>
    <w:rsid w:val="00AC083F"/>
    <w:rsid w:val="00AC0BA1"/>
    <w:rsid w:val="00AC1756"/>
    <w:rsid w:val="00AC1DDB"/>
    <w:rsid w:val="00AC2674"/>
    <w:rsid w:val="00AC772E"/>
    <w:rsid w:val="00AD1748"/>
    <w:rsid w:val="00AD3368"/>
    <w:rsid w:val="00AD7A6D"/>
    <w:rsid w:val="00AE2DC1"/>
    <w:rsid w:val="00AE63E6"/>
    <w:rsid w:val="00AF5606"/>
    <w:rsid w:val="00AF7089"/>
    <w:rsid w:val="00B006A8"/>
    <w:rsid w:val="00B02011"/>
    <w:rsid w:val="00B2046D"/>
    <w:rsid w:val="00B22826"/>
    <w:rsid w:val="00B25009"/>
    <w:rsid w:val="00B2528D"/>
    <w:rsid w:val="00B33705"/>
    <w:rsid w:val="00B36572"/>
    <w:rsid w:val="00B368EF"/>
    <w:rsid w:val="00B371AA"/>
    <w:rsid w:val="00B37BFA"/>
    <w:rsid w:val="00B531A5"/>
    <w:rsid w:val="00B54976"/>
    <w:rsid w:val="00B56EC9"/>
    <w:rsid w:val="00B57F21"/>
    <w:rsid w:val="00B62381"/>
    <w:rsid w:val="00B62B26"/>
    <w:rsid w:val="00B630E9"/>
    <w:rsid w:val="00B6368C"/>
    <w:rsid w:val="00B649A1"/>
    <w:rsid w:val="00B65497"/>
    <w:rsid w:val="00B679C1"/>
    <w:rsid w:val="00B80E0E"/>
    <w:rsid w:val="00B86777"/>
    <w:rsid w:val="00B86B8D"/>
    <w:rsid w:val="00B900F9"/>
    <w:rsid w:val="00B90F86"/>
    <w:rsid w:val="00B92E58"/>
    <w:rsid w:val="00B959B6"/>
    <w:rsid w:val="00B95D93"/>
    <w:rsid w:val="00B96479"/>
    <w:rsid w:val="00BA554A"/>
    <w:rsid w:val="00BA7963"/>
    <w:rsid w:val="00BB0C27"/>
    <w:rsid w:val="00BB0CA9"/>
    <w:rsid w:val="00BB3F09"/>
    <w:rsid w:val="00BB482D"/>
    <w:rsid w:val="00BB4F03"/>
    <w:rsid w:val="00BB6ED6"/>
    <w:rsid w:val="00BC7CAC"/>
    <w:rsid w:val="00BD15E0"/>
    <w:rsid w:val="00BD3C66"/>
    <w:rsid w:val="00BE0F17"/>
    <w:rsid w:val="00BF088A"/>
    <w:rsid w:val="00BF0A68"/>
    <w:rsid w:val="00BF6881"/>
    <w:rsid w:val="00C007BB"/>
    <w:rsid w:val="00C01268"/>
    <w:rsid w:val="00C05108"/>
    <w:rsid w:val="00C13ABE"/>
    <w:rsid w:val="00C17453"/>
    <w:rsid w:val="00C21FE6"/>
    <w:rsid w:val="00C24373"/>
    <w:rsid w:val="00C314CD"/>
    <w:rsid w:val="00C32587"/>
    <w:rsid w:val="00C3344C"/>
    <w:rsid w:val="00C34920"/>
    <w:rsid w:val="00C424B7"/>
    <w:rsid w:val="00C4566B"/>
    <w:rsid w:val="00C50A46"/>
    <w:rsid w:val="00C57A7A"/>
    <w:rsid w:val="00C602DD"/>
    <w:rsid w:val="00C6569A"/>
    <w:rsid w:val="00C66890"/>
    <w:rsid w:val="00C715C8"/>
    <w:rsid w:val="00C72A2A"/>
    <w:rsid w:val="00C747FE"/>
    <w:rsid w:val="00C86B3C"/>
    <w:rsid w:val="00C90E61"/>
    <w:rsid w:val="00C92B4A"/>
    <w:rsid w:val="00C93592"/>
    <w:rsid w:val="00CC5969"/>
    <w:rsid w:val="00CC62C0"/>
    <w:rsid w:val="00CC7975"/>
    <w:rsid w:val="00CD2924"/>
    <w:rsid w:val="00CD2D27"/>
    <w:rsid w:val="00CF2F3B"/>
    <w:rsid w:val="00CF5785"/>
    <w:rsid w:val="00CF7A1E"/>
    <w:rsid w:val="00D04080"/>
    <w:rsid w:val="00D0671B"/>
    <w:rsid w:val="00D10CA9"/>
    <w:rsid w:val="00D110D8"/>
    <w:rsid w:val="00D116B3"/>
    <w:rsid w:val="00D118F7"/>
    <w:rsid w:val="00D1190A"/>
    <w:rsid w:val="00D120B0"/>
    <w:rsid w:val="00D12E05"/>
    <w:rsid w:val="00D177FD"/>
    <w:rsid w:val="00D2017D"/>
    <w:rsid w:val="00D212E4"/>
    <w:rsid w:val="00D21EDB"/>
    <w:rsid w:val="00D237F1"/>
    <w:rsid w:val="00D249BE"/>
    <w:rsid w:val="00D2537E"/>
    <w:rsid w:val="00D25BAD"/>
    <w:rsid w:val="00D43871"/>
    <w:rsid w:val="00D52496"/>
    <w:rsid w:val="00D53D5E"/>
    <w:rsid w:val="00D644B7"/>
    <w:rsid w:val="00D65A89"/>
    <w:rsid w:val="00D67B00"/>
    <w:rsid w:val="00D73D6C"/>
    <w:rsid w:val="00D76A62"/>
    <w:rsid w:val="00D81985"/>
    <w:rsid w:val="00D8282D"/>
    <w:rsid w:val="00D85FCD"/>
    <w:rsid w:val="00D868B7"/>
    <w:rsid w:val="00D93D09"/>
    <w:rsid w:val="00D9637F"/>
    <w:rsid w:val="00DA02F1"/>
    <w:rsid w:val="00DA285B"/>
    <w:rsid w:val="00DA449E"/>
    <w:rsid w:val="00DA5918"/>
    <w:rsid w:val="00DA7AAF"/>
    <w:rsid w:val="00DB133D"/>
    <w:rsid w:val="00DB1C04"/>
    <w:rsid w:val="00DC4912"/>
    <w:rsid w:val="00DC4C77"/>
    <w:rsid w:val="00DC4F1E"/>
    <w:rsid w:val="00DC59E9"/>
    <w:rsid w:val="00DD03CE"/>
    <w:rsid w:val="00DE0EBE"/>
    <w:rsid w:val="00DE19BF"/>
    <w:rsid w:val="00DE5E9F"/>
    <w:rsid w:val="00DE691B"/>
    <w:rsid w:val="00DF0C17"/>
    <w:rsid w:val="00DF37CD"/>
    <w:rsid w:val="00E0027F"/>
    <w:rsid w:val="00E01279"/>
    <w:rsid w:val="00E0634D"/>
    <w:rsid w:val="00E13563"/>
    <w:rsid w:val="00E15249"/>
    <w:rsid w:val="00E174B9"/>
    <w:rsid w:val="00E22973"/>
    <w:rsid w:val="00E22C60"/>
    <w:rsid w:val="00E30837"/>
    <w:rsid w:val="00E359F6"/>
    <w:rsid w:val="00E3616E"/>
    <w:rsid w:val="00E37B32"/>
    <w:rsid w:val="00E45C03"/>
    <w:rsid w:val="00E47528"/>
    <w:rsid w:val="00E518AD"/>
    <w:rsid w:val="00E5365D"/>
    <w:rsid w:val="00E53850"/>
    <w:rsid w:val="00E57E59"/>
    <w:rsid w:val="00E606C8"/>
    <w:rsid w:val="00E63CAB"/>
    <w:rsid w:val="00E702AB"/>
    <w:rsid w:val="00E75DE3"/>
    <w:rsid w:val="00E76FB9"/>
    <w:rsid w:val="00E77978"/>
    <w:rsid w:val="00E77AE1"/>
    <w:rsid w:val="00E92478"/>
    <w:rsid w:val="00EA0A33"/>
    <w:rsid w:val="00EA4294"/>
    <w:rsid w:val="00EA448E"/>
    <w:rsid w:val="00EA7BC1"/>
    <w:rsid w:val="00EB6E0B"/>
    <w:rsid w:val="00EC17C7"/>
    <w:rsid w:val="00EC7990"/>
    <w:rsid w:val="00EC7EBB"/>
    <w:rsid w:val="00ED03F4"/>
    <w:rsid w:val="00ED0B8D"/>
    <w:rsid w:val="00ED21CB"/>
    <w:rsid w:val="00ED5377"/>
    <w:rsid w:val="00EE0100"/>
    <w:rsid w:val="00EE177B"/>
    <w:rsid w:val="00EE195F"/>
    <w:rsid w:val="00EE6EAE"/>
    <w:rsid w:val="00EE73DA"/>
    <w:rsid w:val="00EF1119"/>
    <w:rsid w:val="00EF5EB1"/>
    <w:rsid w:val="00EF7CC2"/>
    <w:rsid w:val="00F02CA2"/>
    <w:rsid w:val="00F03E56"/>
    <w:rsid w:val="00F05525"/>
    <w:rsid w:val="00F056BF"/>
    <w:rsid w:val="00F13DFE"/>
    <w:rsid w:val="00F24D53"/>
    <w:rsid w:val="00F25A58"/>
    <w:rsid w:val="00F271FA"/>
    <w:rsid w:val="00F27D1C"/>
    <w:rsid w:val="00F31E6F"/>
    <w:rsid w:val="00F456B8"/>
    <w:rsid w:val="00F46CAF"/>
    <w:rsid w:val="00F53270"/>
    <w:rsid w:val="00F611E9"/>
    <w:rsid w:val="00F61A7A"/>
    <w:rsid w:val="00F61E5C"/>
    <w:rsid w:val="00F64421"/>
    <w:rsid w:val="00F74975"/>
    <w:rsid w:val="00F82012"/>
    <w:rsid w:val="00F94168"/>
    <w:rsid w:val="00F97896"/>
    <w:rsid w:val="00FA22E2"/>
    <w:rsid w:val="00FA7C77"/>
    <w:rsid w:val="00FB37E1"/>
    <w:rsid w:val="00FB4533"/>
    <w:rsid w:val="00FC08D7"/>
    <w:rsid w:val="00FC6555"/>
    <w:rsid w:val="00FD1DA8"/>
    <w:rsid w:val="00FD260F"/>
    <w:rsid w:val="00FD3035"/>
    <w:rsid w:val="00FD717C"/>
    <w:rsid w:val="00FE03D0"/>
    <w:rsid w:val="00FE1C46"/>
    <w:rsid w:val="00FE3762"/>
    <w:rsid w:val="00FE3B77"/>
    <w:rsid w:val="00FF2EE2"/>
    <w:rsid w:val="00FF7628"/>
    <w:rsid w:val="015E31A3"/>
    <w:rsid w:val="01A93B20"/>
    <w:rsid w:val="01AD5FD9"/>
    <w:rsid w:val="01D80157"/>
    <w:rsid w:val="02B26B97"/>
    <w:rsid w:val="030B2A3C"/>
    <w:rsid w:val="042E514C"/>
    <w:rsid w:val="042F5B3B"/>
    <w:rsid w:val="04405650"/>
    <w:rsid w:val="04561706"/>
    <w:rsid w:val="04877EA8"/>
    <w:rsid w:val="04AF3EEF"/>
    <w:rsid w:val="04CB3E09"/>
    <w:rsid w:val="05EA1861"/>
    <w:rsid w:val="06150F54"/>
    <w:rsid w:val="06284B23"/>
    <w:rsid w:val="062D2D10"/>
    <w:rsid w:val="068147FB"/>
    <w:rsid w:val="068A0346"/>
    <w:rsid w:val="06A51C16"/>
    <w:rsid w:val="07262D15"/>
    <w:rsid w:val="073A0818"/>
    <w:rsid w:val="07D04320"/>
    <w:rsid w:val="08046CFA"/>
    <w:rsid w:val="0853230C"/>
    <w:rsid w:val="087C259E"/>
    <w:rsid w:val="094A4EFD"/>
    <w:rsid w:val="09A03F87"/>
    <w:rsid w:val="09BC67CB"/>
    <w:rsid w:val="09EA0C98"/>
    <w:rsid w:val="0A610C57"/>
    <w:rsid w:val="0A964CC7"/>
    <w:rsid w:val="0AEA5B88"/>
    <w:rsid w:val="0B1306DF"/>
    <w:rsid w:val="0B4F0565"/>
    <w:rsid w:val="0B7B1C8C"/>
    <w:rsid w:val="0C140A6B"/>
    <w:rsid w:val="0C4D3406"/>
    <w:rsid w:val="0C5B469B"/>
    <w:rsid w:val="0C832E40"/>
    <w:rsid w:val="0D076022"/>
    <w:rsid w:val="0D547D01"/>
    <w:rsid w:val="0D595C0F"/>
    <w:rsid w:val="0D6D7C45"/>
    <w:rsid w:val="0E0C2595"/>
    <w:rsid w:val="0E9658AF"/>
    <w:rsid w:val="0EF73684"/>
    <w:rsid w:val="0F2F1A9B"/>
    <w:rsid w:val="0F380424"/>
    <w:rsid w:val="0F3838C5"/>
    <w:rsid w:val="0FA77EFC"/>
    <w:rsid w:val="0FCC5594"/>
    <w:rsid w:val="0FE21F21"/>
    <w:rsid w:val="10172698"/>
    <w:rsid w:val="10230D99"/>
    <w:rsid w:val="105F1FAD"/>
    <w:rsid w:val="11301FEB"/>
    <w:rsid w:val="11426477"/>
    <w:rsid w:val="11960DBE"/>
    <w:rsid w:val="11D11000"/>
    <w:rsid w:val="11E52FBC"/>
    <w:rsid w:val="1222100F"/>
    <w:rsid w:val="125C1A7D"/>
    <w:rsid w:val="12794E92"/>
    <w:rsid w:val="12AB4F43"/>
    <w:rsid w:val="12FC58B1"/>
    <w:rsid w:val="13051AA5"/>
    <w:rsid w:val="13A42943"/>
    <w:rsid w:val="13E43AC5"/>
    <w:rsid w:val="13EB2702"/>
    <w:rsid w:val="13F444CA"/>
    <w:rsid w:val="1465121C"/>
    <w:rsid w:val="14757D15"/>
    <w:rsid w:val="148823C4"/>
    <w:rsid w:val="15CC0D9D"/>
    <w:rsid w:val="16945423"/>
    <w:rsid w:val="16A3463E"/>
    <w:rsid w:val="17BF08C8"/>
    <w:rsid w:val="18187335"/>
    <w:rsid w:val="182715C6"/>
    <w:rsid w:val="186739B3"/>
    <w:rsid w:val="188E5849"/>
    <w:rsid w:val="18B71DC5"/>
    <w:rsid w:val="18C36BBA"/>
    <w:rsid w:val="18CB23E1"/>
    <w:rsid w:val="1910391B"/>
    <w:rsid w:val="19151AC7"/>
    <w:rsid w:val="196704AE"/>
    <w:rsid w:val="19A47EFE"/>
    <w:rsid w:val="19C05BC8"/>
    <w:rsid w:val="1A0F5373"/>
    <w:rsid w:val="1A4827CC"/>
    <w:rsid w:val="1AA73F0B"/>
    <w:rsid w:val="1B1F7C1A"/>
    <w:rsid w:val="1B4124AE"/>
    <w:rsid w:val="1B473C26"/>
    <w:rsid w:val="1B6A20E7"/>
    <w:rsid w:val="1B6B5600"/>
    <w:rsid w:val="1BBC0829"/>
    <w:rsid w:val="1BCA5E71"/>
    <w:rsid w:val="1C066404"/>
    <w:rsid w:val="1CCD3977"/>
    <w:rsid w:val="1CE93033"/>
    <w:rsid w:val="1CFE7930"/>
    <w:rsid w:val="1D005E6F"/>
    <w:rsid w:val="1D0A64E0"/>
    <w:rsid w:val="1D1C59CF"/>
    <w:rsid w:val="1D452A1E"/>
    <w:rsid w:val="1D590C58"/>
    <w:rsid w:val="1D9D249A"/>
    <w:rsid w:val="1FA55EA1"/>
    <w:rsid w:val="1FA57DDF"/>
    <w:rsid w:val="1FC53512"/>
    <w:rsid w:val="1FDD19AA"/>
    <w:rsid w:val="1FE37B15"/>
    <w:rsid w:val="2002358D"/>
    <w:rsid w:val="20107300"/>
    <w:rsid w:val="202667C4"/>
    <w:rsid w:val="203B533F"/>
    <w:rsid w:val="204C25B7"/>
    <w:rsid w:val="20574252"/>
    <w:rsid w:val="20AC0F62"/>
    <w:rsid w:val="20BB0D13"/>
    <w:rsid w:val="211C3A1C"/>
    <w:rsid w:val="21216FE7"/>
    <w:rsid w:val="21AD2797"/>
    <w:rsid w:val="21B1474E"/>
    <w:rsid w:val="21C10192"/>
    <w:rsid w:val="21F052B6"/>
    <w:rsid w:val="222123B7"/>
    <w:rsid w:val="22392BD8"/>
    <w:rsid w:val="224D5700"/>
    <w:rsid w:val="22AC0B5A"/>
    <w:rsid w:val="22CF0F38"/>
    <w:rsid w:val="22F905E6"/>
    <w:rsid w:val="236F124E"/>
    <w:rsid w:val="23715293"/>
    <w:rsid w:val="23AE32E7"/>
    <w:rsid w:val="24650743"/>
    <w:rsid w:val="24747497"/>
    <w:rsid w:val="252C0E44"/>
    <w:rsid w:val="25575B08"/>
    <w:rsid w:val="25F158F0"/>
    <w:rsid w:val="25FC0849"/>
    <w:rsid w:val="261C7FBB"/>
    <w:rsid w:val="26402031"/>
    <w:rsid w:val="26A76454"/>
    <w:rsid w:val="274F1165"/>
    <w:rsid w:val="276670A6"/>
    <w:rsid w:val="27CF7E9F"/>
    <w:rsid w:val="27F44C08"/>
    <w:rsid w:val="28171FD9"/>
    <w:rsid w:val="285C5269"/>
    <w:rsid w:val="28A129B3"/>
    <w:rsid w:val="28F54A39"/>
    <w:rsid w:val="29126EFF"/>
    <w:rsid w:val="293509E1"/>
    <w:rsid w:val="295D7B09"/>
    <w:rsid w:val="29DB4666"/>
    <w:rsid w:val="2A620A8F"/>
    <w:rsid w:val="2AB90504"/>
    <w:rsid w:val="2B18314B"/>
    <w:rsid w:val="2B514BE0"/>
    <w:rsid w:val="2B5C5333"/>
    <w:rsid w:val="2B82497A"/>
    <w:rsid w:val="2B845884"/>
    <w:rsid w:val="2BD77904"/>
    <w:rsid w:val="2C787640"/>
    <w:rsid w:val="2D1E31CC"/>
    <w:rsid w:val="2D236CC4"/>
    <w:rsid w:val="2D522F2D"/>
    <w:rsid w:val="2D8830E8"/>
    <w:rsid w:val="2D892CF7"/>
    <w:rsid w:val="2D9C5EBB"/>
    <w:rsid w:val="2DE97574"/>
    <w:rsid w:val="2E7E50ED"/>
    <w:rsid w:val="2E844F45"/>
    <w:rsid w:val="2ED93495"/>
    <w:rsid w:val="2F3605CD"/>
    <w:rsid w:val="2F3B1E2F"/>
    <w:rsid w:val="2FCA7487"/>
    <w:rsid w:val="2FE0023B"/>
    <w:rsid w:val="300838F6"/>
    <w:rsid w:val="30391AE7"/>
    <w:rsid w:val="3074251A"/>
    <w:rsid w:val="308C426C"/>
    <w:rsid w:val="317E27A9"/>
    <w:rsid w:val="31982AD6"/>
    <w:rsid w:val="320024CC"/>
    <w:rsid w:val="320C0799"/>
    <w:rsid w:val="32161680"/>
    <w:rsid w:val="325154C6"/>
    <w:rsid w:val="328D142A"/>
    <w:rsid w:val="329606AC"/>
    <w:rsid w:val="33004EB4"/>
    <w:rsid w:val="333C4F99"/>
    <w:rsid w:val="33407799"/>
    <w:rsid w:val="33AF4B9A"/>
    <w:rsid w:val="34453AED"/>
    <w:rsid w:val="344C676B"/>
    <w:rsid w:val="35041D48"/>
    <w:rsid w:val="36774DB3"/>
    <w:rsid w:val="36B329A0"/>
    <w:rsid w:val="36D051CA"/>
    <w:rsid w:val="3729371C"/>
    <w:rsid w:val="372D64B2"/>
    <w:rsid w:val="3731289B"/>
    <w:rsid w:val="373E5473"/>
    <w:rsid w:val="374C4969"/>
    <w:rsid w:val="37892BC6"/>
    <w:rsid w:val="37A42450"/>
    <w:rsid w:val="37E95CB0"/>
    <w:rsid w:val="382B3E3D"/>
    <w:rsid w:val="39400042"/>
    <w:rsid w:val="395E14CC"/>
    <w:rsid w:val="398268AC"/>
    <w:rsid w:val="39C55CEA"/>
    <w:rsid w:val="3A5308B9"/>
    <w:rsid w:val="3AAC6137"/>
    <w:rsid w:val="3ABA6269"/>
    <w:rsid w:val="3ACF12D3"/>
    <w:rsid w:val="3B283C81"/>
    <w:rsid w:val="3B54214A"/>
    <w:rsid w:val="3B6B272C"/>
    <w:rsid w:val="3BB94CB3"/>
    <w:rsid w:val="3BDD1161"/>
    <w:rsid w:val="3CB4797B"/>
    <w:rsid w:val="3CC05BCA"/>
    <w:rsid w:val="3D3C2342"/>
    <w:rsid w:val="3E9B5F83"/>
    <w:rsid w:val="3EBE1D6B"/>
    <w:rsid w:val="3F3A6CF4"/>
    <w:rsid w:val="3F593D44"/>
    <w:rsid w:val="3F87731C"/>
    <w:rsid w:val="3FCE45FA"/>
    <w:rsid w:val="40566CEE"/>
    <w:rsid w:val="40725DE3"/>
    <w:rsid w:val="40B56905"/>
    <w:rsid w:val="41051C0E"/>
    <w:rsid w:val="41502D53"/>
    <w:rsid w:val="415154E1"/>
    <w:rsid w:val="415154E2"/>
    <w:rsid w:val="41EE0A65"/>
    <w:rsid w:val="41EE355D"/>
    <w:rsid w:val="425D5075"/>
    <w:rsid w:val="426E7DF6"/>
    <w:rsid w:val="42A81B3C"/>
    <w:rsid w:val="42C02F16"/>
    <w:rsid w:val="432726FA"/>
    <w:rsid w:val="43E72429"/>
    <w:rsid w:val="447E17D2"/>
    <w:rsid w:val="44C51102"/>
    <w:rsid w:val="451805FD"/>
    <w:rsid w:val="45654C8F"/>
    <w:rsid w:val="465A12C6"/>
    <w:rsid w:val="46791003"/>
    <w:rsid w:val="470E36EB"/>
    <w:rsid w:val="472112DD"/>
    <w:rsid w:val="47E01F2A"/>
    <w:rsid w:val="480810DA"/>
    <w:rsid w:val="480A6278"/>
    <w:rsid w:val="48461AFE"/>
    <w:rsid w:val="4846693E"/>
    <w:rsid w:val="48710197"/>
    <w:rsid w:val="488B2DCB"/>
    <w:rsid w:val="48FA2BE3"/>
    <w:rsid w:val="495B70A0"/>
    <w:rsid w:val="4A1D1334"/>
    <w:rsid w:val="4A267403"/>
    <w:rsid w:val="4A3239D7"/>
    <w:rsid w:val="4A431740"/>
    <w:rsid w:val="4A435075"/>
    <w:rsid w:val="4A453805"/>
    <w:rsid w:val="4A73690C"/>
    <w:rsid w:val="4AB3123A"/>
    <w:rsid w:val="4B262C4A"/>
    <w:rsid w:val="4B4A5AC7"/>
    <w:rsid w:val="4BFA0524"/>
    <w:rsid w:val="4C782237"/>
    <w:rsid w:val="4CE12C57"/>
    <w:rsid w:val="4D4319F4"/>
    <w:rsid w:val="4D452018"/>
    <w:rsid w:val="4DA41F66"/>
    <w:rsid w:val="4EAF3696"/>
    <w:rsid w:val="4ECA05EE"/>
    <w:rsid w:val="4ED93986"/>
    <w:rsid w:val="4F0170F3"/>
    <w:rsid w:val="4F1E3BF9"/>
    <w:rsid w:val="4F6358DC"/>
    <w:rsid w:val="4FE34983"/>
    <w:rsid w:val="50261569"/>
    <w:rsid w:val="50B73DD8"/>
    <w:rsid w:val="51755816"/>
    <w:rsid w:val="51BF443D"/>
    <w:rsid w:val="51FE5FDC"/>
    <w:rsid w:val="52DF2616"/>
    <w:rsid w:val="53004672"/>
    <w:rsid w:val="535844AE"/>
    <w:rsid w:val="537868FE"/>
    <w:rsid w:val="53CE446B"/>
    <w:rsid w:val="53F05317"/>
    <w:rsid w:val="54B00846"/>
    <w:rsid w:val="554A04C4"/>
    <w:rsid w:val="55ED1B93"/>
    <w:rsid w:val="56691793"/>
    <w:rsid w:val="56E54719"/>
    <w:rsid w:val="574648C1"/>
    <w:rsid w:val="575D40A9"/>
    <w:rsid w:val="576C40CA"/>
    <w:rsid w:val="57D31D86"/>
    <w:rsid w:val="58CD4FF7"/>
    <w:rsid w:val="58F133F6"/>
    <w:rsid w:val="5A016371"/>
    <w:rsid w:val="5A0520AB"/>
    <w:rsid w:val="5A0C0010"/>
    <w:rsid w:val="5A152F3F"/>
    <w:rsid w:val="5A1F3AB0"/>
    <w:rsid w:val="5A264240"/>
    <w:rsid w:val="5A6A6CFF"/>
    <w:rsid w:val="5A7A142A"/>
    <w:rsid w:val="5AC47178"/>
    <w:rsid w:val="5AE41F04"/>
    <w:rsid w:val="5B0D51C9"/>
    <w:rsid w:val="5B382055"/>
    <w:rsid w:val="5B4F43E9"/>
    <w:rsid w:val="5B75379C"/>
    <w:rsid w:val="5BDF04FE"/>
    <w:rsid w:val="5CA31420"/>
    <w:rsid w:val="5CBB2DF9"/>
    <w:rsid w:val="5CBE5C2B"/>
    <w:rsid w:val="5D0E1708"/>
    <w:rsid w:val="5D172CE4"/>
    <w:rsid w:val="5DA37742"/>
    <w:rsid w:val="5E3710A7"/>
    <w:rsid w:val="5E385608"/>
    <w:rsid w:val="5E9345EC"/>
    <w:rsid w:val="5EBE1BDB"/>
    <w:rsid w:val="5EE035AA"/>
    <w:rsid w:val="5EF561A8"/>
    <w:rsid w:val="5F106442"/>
    <w:rsid w:val="5F5F742C"/>
    <w:rsid w:val="5F6009F4"/>
    <w:rsid w:val="5F692570"/>
    <w:rsid w:val="5F6E1EF1"/>
    <w:rsid w:val="5F9A1739"/>
    <w:rsid w:val="5FA111CF"/>
    <w:rsid w:val="5FB7392A"/>
    <w:rsid w:val="5FCE4022"/>
    <w:rsid w:val="5FD52D72"/>
    <w:rsid w:val="600A2464"/>
    <w:rsid w:val="60547B98"/>
    <w:rsid w:val="605851A6"/>
    <w:rsid w:val="614D54F7"/>
    <w:rsid w:val="61681665"/>
    <w:rsid w:val="61B551E4"/>
    <w:rsid w:val="61D96B16"/>
    <w:rsid w:val="620462F4"/>
    <w:rsid w:val="622D6F63"/>
    <w:rsid w:val="622E1E01"/>
    <w:rsid w:val="62864468"/>
    <w:rsid w:val="63190E2F"/>
    <w:rsid w:val="638A6119"/>
    <w:rsid w:val="63A97248"/>
    <w:rsid w:val="63C90367"/>
    <w:rsid w:val="63F90468"/>
    <w:rsid w:val="648A29D8"/>
    <w:rsid w:val="64A5514D"/>
    <w:rsid w:val="64D80A4B"/>
    <w:rsid w:val="651F79CB"/>
    <w:rsid w:val="65757142"/>
    <w:rsid w:val="659037C7"/>
    <w:rsid w:val="659650C6"/>
    <w:rsid w:val="65C45DE1"/>
    <w:rsid w:val="66193B86"/>
    <w:rsid w:val="6633044F"/>
    <w:rsid w:val="667518BE"/>
    <w:rsid w:val="668D2269"/>
    <w:rsid w:val="674566A0"/>
    <w:rsid w:val="67782D0C"/>
    <w:rsid w:val="6799032B"/>
    <w:rsid w:val="67C57C59"/>
    <w:rsid w:val="67E8279E"/>
    <w:rsid w:val="68284F2F"/>
    <w:rsid w:val="68F738CC"/>
    <w:rsid w:val="69702ECB"/>
    <w:rsid w:val="698C7BD3"/>
    <w:rsid w:val="69B46FCE"/>
    <w:rsid w:val="69DB64FD"/>
    <w:rsid w:val="6A29134C"/>
    <w:rsid w:val="6A342E59"/>
    <w:rsid w:val="6AD0065C"/>
    <w:rsid w:val="6AE83F12"/>
    <w:rsid w:val="6B17268F"/>
    <w:rsid w:val="6B5259F4"/>
    <w:rsid w:val="6BBA3B00"/>
    <w:rsid w:val="6BDC3BEA"/>
    <w:rsid w:val="6CB86538"/>
    <w:rsid w:val="6CDC6548"/>
    <w:rsid w:val="6DB466B8"/>
    <w:rsid w:val="6DCA6209"/>
    <w:rsid w:val="6DCB1F37"/>
    <w:rsid w:val="6DED3AA6"/>
    <w:rsid w:val="6E7D32FA"/>
    <w:rsid w:val="6EFD5AB2"/>
    <w:rsid w:val="6F680619"/>
    <w:rsid w:val="70170630"/>
    <w:rsid w:val="703814F9"/>
    <w:rsid w:val="70D30E38"/>
    <w:rsid w:val="710E51E9"/>
    <w:rsid w:val="71774213"/>
    <w:rsid w:val="71AA2BBF"/>
    <w:rsid w:val="71B0131C"/>
    <w:rsid w:val="71B16680"/>
    <w:rsid w:val="72320E11"/>
    <w:rsid w:val="72AC5136"/>
    <w:rsid w:val="73010139"/>
    <w:rsid w:val="73240B5B"/>
    <w:rsid w:val="73375E01"/>
    <w:rsid w:val="737F05F0"/>
    <w:rsid w:val="739A4191"/>
    <w:rsid w:val="73B26118"/>
    <w:rsid w:val="73FA0CCB"/>
    <w:rsid w:val="742F0365"/>
    <w:rsid w:val="745C758A"/>
    <w:rsid w:val="74964DDA"/>
    <w:rsid w:val="74CC2BA1"/>
    <w:rsid w:val="756F4A9E"/>
    <w:rsid w:val="75A57F57"/>
    <w:rsid w:val="75D37A25"/>
    <w:rsid w:val="75EC68C4"/>
    <w:rsid w:val="76147BCB"/>
    <w:rsid w:val="765608C9"/>
    <w:rsid w:val="76CE4C01"/>
    <w:rsid w:val="76D564E2"/>
    <w:rsid w:val="77414A9F"/>
    <w:rsid w:val="77457675"/>
    <w:rsid w:val="77493E22"/>
    <w:rsid w:val="77D206D3"/>
    <w:rsid w:val="77E13150"/>
    <w:rsid w:val="77F27C02"/>
    <w:rsid w:val="78AA6923"/>
    <w:rsid w:val="796A660A"/>
    <w:rsid w:val="7A0C7355"/>
    <w:rsid w:val="7AA22F8C"/>
    <w:rsid w:val="7AC13184"/>
    <w:rsid w:val="7AC13901"/>
    <w:rsid w:val="7AD61A06"/>
    <w:rsid w:val="7AFA2D02"/>
    <w:rsid w:val="7B135E8B"/>
    <w:rsid w:val="7BE07352"/>
    <w:rsid w:val="7C361949"/>
    <w:rsid w:val="7D3D362D"/>
    <w:rsid w:val="7D6615DC"/>
    <w:rsid w:val="7D9741AC"/>
    <w:rsid w:val="7DF75281"/>
    <w:rsid w:val="7E06072D"/>
    <w:rsid w:val="7E573875"/>
    <w:rsid w:val="7EF83D76"/>
    <w:rsid w:val="7F5B3FCC"/>
    <w:rsid w:val="7F6A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9"/>
    <w:qFormat/>
    <w:uiPriority w:val="0"/>
    <w:pPr>
      <w:keepNext/>
      <w:keepLines/>
      <w:spacing w:before="50" w:beforeLines="50" w:after="50" w:afterLines="50" w:line="579" w:lineRule="auto"/>
      <w:jc w:val="center"/>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spacing w:before="280" w:after="290" w:line="376" w:lineRule="auto"/>
      <w:outlineLvl w:val="4"/>
    </w:pPr>
    <w:rPr>
      <w:rFonts w:eastAsia="黑体"/>
      <w:b/>
      <w:bCs/>
      <w:sz w:val="28"/>
      <w:szCs w:val="28"/>
    </w:rPr>
  </w:style>
  <w:style w:type="paragraph" w:styleId="7">
    <w:name w:val="heading 6"/>
    <w:basedOn w:val="1"/>
    <w:next w:val="1"/>
    <w:link w:val="44"/>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spacing w:before="240" w:after="64" w:line="320" w:lineRule="auto"/>
      <w:outlineLvl w:val="6"/>
    </w:pPr>
    <w:rPr>
      <w:b/>
      <w:bCs/>
      <w:sz w:val="24"/>
      <w:szCs w:val="24"/>
    </w:rPr>
  </w:style>
  <w:style w:type="paragraph" w:styleId="9">
    <w:name w:val="heading 8"/>
    <w:basedOn w:val="1"/>
    <w:next w:val="1"/>
    <w:link w:val="46"/>
    <w:qFormat/>
    <w:uiPriority w:val="0"/>
    <w:pPr>
      <w:keepNext/>
      <w:keepLines/>
      <w:spacing w:before="240" w:after="64" w:line="320" w:lineRule="auto"/>
      <w:outlineLvl w:val="7"/>
    </w:pPr>
    <w:rPr>
      <w:rFonts w:ascii="Arial" w:hAnsi="Arial" w:eastAsia="黑体"/>
      <w:sz w:val="24"/>
      <w:szCs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qFormat/>
    <w:uiPriority w:val="0"/>
    <w:pPr>
      <w:spacing w:after="120"/>
      <w:ind w:firstLine="420"/>
    </w:pPr>
    <w:rPr>
      <w:szCs w:val="20"/>
    </w:rPr>
  </w:style>
  <w:style w:type="paragraph" w:styleId="11">
    <w:name w:val="Document Map"/>
    <w:basedOn w:val="1"/>
    <w:link w:val="47"/>
    <w:semiHidden/>
    <w:qFormat/>
    <w:uiPriority w:val="0"/>
    <w:pPr>
      <w:shd w:val="clear" w:color="auto" w:fill="000080"/>
    </w:pPr>
    <w:rPr>
      <w:szCs w:val="24"/>
    </w:rPr>
  </w:style>
  <w:style w:type="paragraph" w:styleId="12">
    <w:name w:val="annotation text"/>
    <w:basedOn w:val="1"/>
    <w:link w:val="48"/>
    <w:unhideWhenUsed/>
    <w:qFormat/>
    <w:uiPriority w:val="0"/>
    <w:pPr>
      <w:jc w:val="left"/>
    </w:pPr>
  </w:style>
  <w:style w:type="paragraph" w:styleId="13">
    <w:name w:val="Body Text"/>
    <w:basedOn w:val="1"/>
    <w:link w:val="49"/>
    <w:unhideWhenUsed/>
    <w:qFormat/>
    <w:uiPriority w:val="0"/>
    <w:pPr>
      <w:spacing w:after="120"/>
    </w:pPr>
  </w:style>
  <w:style w:type="paragraph" w:styleId="14">
    <w:name w:val="Body Text Indent"/>
    <w:basedOn w:val="1"/>
    <w:link w:val="50"/>
    <w:qFormat/>
    <w:uiPriority w:val="0"/>
    <w:pPr>
      <w:ind w:firstLine="720" w:firstLineChars="225"/>
    </w:pPr>
    <w:rPr>
      <w:rFonts w:ascii="方正仿宋_GB2312" w:eastAsia="方正仿宋_GB2312"/>
      <w:kern w:val="0"/>
      <w:sz w:val="32"/>
      <w:szCs w:val="24"/>
    </w:rPr>
  </w:style>
  <w:style w:type="paragraph" w:styleId="15">
    <w:name w:val="index 4"/>
    <w:basedOn w:val="1"/>
    <w:next w:val="1"/>
    <w:qFormat/>
    <w:uiPriority w:val="0"/>
    <w:pPr>
      <w:ind w:left="600" w:leftChars="600"/>
    </w:pPr>
    <w:rPr>
      <w:szCs w:val="24"/>
    </w:rPr>
  </w:style>
  <w:style w:type="paragraph" w:styleId="16">
    <w:name w:val="toc 3"/>
    <w:basedOn w:val="1"/>
    <w:next w:val="1"/>
    <w:unhideWhenUsed/>
    <w:qFormat/>
    <w:uiPriority w:val="39"/>
    <w:pPr>
      <w:widowControl/>
      <w:spacing w:after="100" w:line="276" w:lineRule="auto"/>
      <w:ind w:left="440"/>
      <w:jc w:val="left"/>
    </w:pPr>
    <w:rPr>
      <w:kern w:val="0"/>
      <w:sz w:val="22"/>
    </w:rPr>
  </w:style>
  <w:style w:type="paragraph" w:styleId="17">
    <w:name w:val="Plain Text"/>
    <w:basedOn w:val="1"/>
    <w:link w:val="51"/>
    <w:qFormat/>
    <w:uiPriority w:val="0"/>
    <w:rPr>
      <w:rFonts w:ascii="宋体" w:hAnsi="Courier New"/>
      <w:szCs w:val="21"/>
    </w:rPr>
  </w:style>
  <w:style w:type="paragraph" w:styleId="18">
    <w:name w:val="Date"/>
    <w:basedOn w:val="1"/>
    <w:next w:val="1"/>
    <w:link w:val="52"/>
    <w:qFormat/>
    <w:uiPriority w:val="0"/>
    <w:pPr>
      <w:ind w:left="100" w:leftChars="2500"/>
    </w:pPr>
    <w:rPr>
      <w:szCs w:val="24"/>
    </w:rPr>
  </w:style>
  <w:style w:type="paragraph" w:styleId="19">
    <w:name w:val="Body Text Indent 2"/>
    <w:basedOn w:val="1"/>
    <w:link w:val="53"/>
    <w:qFormat/>
    <w:uiPriority w:val="0"/>
    <w:pPr>
      <w:spacing w:line="540" w:lineRule="exact"/>
      <w:ind w:firstLine="720" w:firstLineChars="225"/>
      <w:jc w:val="left"/>
    </w:pPr>
    <w:rPr>
      <w:rFonts w:ascii="方正仿宋_GB2312" w:eastAsia="方正仿宋_GB2312"/>
      <w:sz w:val="32"/>
      <w:szCs w:val="24"/>
    </w:rPr>
  </w:style>
  <w:style w:type="paragraph" w:styleId="20">
    <w:name w:val="Balloon Text"/>
    <w:basedOn w:val="1"/>
    <w:link w:val="54"/>
    <w:semiHidden/>
    <w:qFormat/>
    <w:uiPriority w:val="0"/>
    <w:rPr>
      <w:sz w:val="18"/>
      <w:szCs w:val="18"/>
    </w:rPr>
  </w:style>
  <w:style w:type="paragraph" w:styleId="21">
    <w:name w:val="footer"/>
    <w:basedOn w:val="1"/>
    <w:link w:val="55"/>
    <w:unhideWhenUsed/>
    <w:qFormat/>
    <w:uiPriority w:val="99"/>
    <w:pPr>
      <w:tabs>
        <w:tab w:val="center" w:pos="4153"/>
        <w:tab w:val="right" w:pos="8306"/>
      </w:tabs>
      <w:snapToGrid w:val="0"/>
      <w:jc w:val="left"/>
    </w:pPr>
    <w:rPr>
      <w:sz w:val="18"/>
      <w:szCs w:val="18"/>
    </w:rPr>
  </w:style>
  <w:style w:type="paragraph" w:styleId="22">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Body Text Indent 3"/>
    <w:basedOn w:val="1"/>
    <w:link w:val="57"/>
    <w:qFormat/>
    <w:uiPriority w:val="0"/>
    <w:pPr>
      <w:ind w:firstLine="639" w:firstLineChars="213"/>
    </w:pPr>
    <w:rPr>
      <w:rFonts w:ascii="方正仿宋_GB2312" w:eastAsia="方正仿宋_GB2312"/>
      <w:sz w:val="30"/>
      <w:szCs w:val="24"/>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Body Text 2"/>
    <w:basedOn w:val="1"/>
    <w:link w:val="58"/>
    <w:qFormat/>
    <w:uiPriority w:val="0"/>
    <w:pPr>
      <w:spacing w:line="560" w:lineRule="exact"/>
    </w:pPr>
    <w:rPr>
      <w:rFonts w:ascii="方正仿宋_GB2312" w:eastAsia="方正仿宋_GB2312"/>
      <w:sz w:val="30"/>
      <w:szCs w:val="24"/>
    </w:rPr>
  </w:style>
  <w:style w:type="paragraph" w:styleId="27">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Cs w:val="21"/>
    </w:r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9">
    <w:name w:val="annotation subject"/>
    <w:basedOn w:val="12"/>
    <w:next w:val="12"/>
    <w:link w:val="60"/>
    <w:semiHidden/>
    <w:qFormat/>
    <w:uiPriority w:val="0"/>
    <w:rPr>
      <w:b/>
      <w:bCs/>
      <w:szCs w:val="24"/>
    </w:rPr>
  </w:style>
  <w:style w:type="paragraph" w:styleId="30">
    <w:name w:val="Body Text First Indent"/>
    <w:basedOn w:val="13"/>
    <w:link w:val="61"/>
    <w:qFormat/>
    <w:uiPriority w:val="0"/>
    <w:pPr>
      <w:ind w:firstLine="420" w:firstLineChars="100"/>
    </w:pPr>
    <w:rPr>
      <w:szCs w:val="24"/>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qFormat/>
    <w:uiPriority w:val="0"/>
  </w:style>
  <w:style w:type="character" w:styleId="36">
    <w:name w:val="FollowedHyperlink"/>
    <w:qFormat/>
    <w:uiPriority w:val="99"/>
    <w:rPr>
      <w:color w:val="800080"/>
      <w:u w:val="single"/>
    </w:rPr>
  </w:style>
  <w:style w:type="character" w:styleId="37">
    <w:name w:val="Hyperlink"/>
    <w:qFormat/>
    <w:uiPriority w:val="99"/>
    <w:rPr>
      <w:color w:val="0000FF"/>
      <w:u w:val="single"/>
    </w:rPr>
  </w:style>
  <w:style w:type="character" w:styleId="38">
    <w:name w:val="annotation reference"/>
    <w:semiHidden/>
    <w:qFormat/>
    <w:uiPriority w:val="0"/>
    <w:rPr>
      <w:sz w:val="21"/>
      <w:szCs w:val="21"/>
    </w:rPr>
  </w:style>
  <w:style w:type="character" w:customStyle="1" w:styleId="39">
    <w:name w:val="标题 1 字符"/>
    <w:link w:val="2"/>
    <w:qFormat/>
    <w:uiPriority w:val="0"/>
    <w:rPr>
      <w:rFonts w:ascii="Times New Roman" w:hAnsi="Times New Roman" w:eastAsia="宋体" w:cs="Times New Roman"/>
      <w:b/>
      <w:bCs/>
      <w:kern w:val="44"/>
      <w:sz w:val="44"/>
      <w:szCs w:val="44"/>
    </w:rPr>
  </w:style>
  <w:style w:type="character" w:customStyle="1" w:styleId="40">
    <w:name w:val="标题 2 字符"/>
    <w:link w:val="3"/>
    <w:qFormat/>
    <w:uiPriority w:val="0"/>
    <w:rPr>
      <w:rFonts w:ascii="Arial" w:hAnsi="Arial" w:eastAsia="黑体" w:cs="Times New Roman"/>
      <w:b/>
      <w:bCs/>
      <w:sz w:val="32"/>
      <w:szCs w:val="32"/>
    </w:rPr>
  </w:style>
  <w:style w:type="character" w:customStyle="1" w:styleId="41">
    <w:name w:val="标题 3 字符"/>
    <w:link w:val="4"/>
    <w:qFormat/>
    <w:uiPriority w:val="0"/>
    <w:rPr>
      <w:rFonts w:ascii="Times New Roman" w:hAnsi="Times New Roman" w:eastAsia="黑体" w:cs="Times New Roman"/>
      <w:b/>
      <w:bCs/>
      <w:sz w:val="32"/>
      <w:szCs w:val="32"/>
    </w:rPr>
  </w:style>
  <w:style w:type="character" w:customStyle="1" w:styleId="42">
    <w:name w:val="标题 4 字符"/>
    <w:link w:val="5"/>
    <w:qFormat/>
    <w:uiPriority w:val="0"/>
    <w:rPr>
      <w:rFonts w:ascii="Arial" w:hAnsi="Arial" w:eastAsia="黑体" w:cs="Times New Roman"/>
      <w:b/>
      <w:bCs/>
      <w:sz w:val="28"/>
      <w:szCs w:val="28"/>
    </w:rPr>
  </w:style>
  <w:style w:type="character" w:customStyle="1" w:styleId="43">
    <w:name w:val="标题 5 字符"/>
    <w:link w:val="6"/>
    <w:qFormat/>
    <w:uiPriority w:val="0"/>
    <w:rPr>
      <w:rFonts w:ascii="Times New Roman" w:hAnsi="Times New Roman" w:eastAsia="黑体" w:cs="Times New Roman"/>
      <w:b/>
      <w:bCs/>
      <w:sz w:val="28"/>
      <w:szCs w:val="28"/>
    </w:rPr>
  </w:style>
  <w:style w:type="character" w:customStyle="1" w:styleId="44">
    <w:name w:val="标题 6 字符"/>
    <w:link w:val="7"/>
    <w:qFormat/>
    <w:uiPriority w:val="0"/>
    <w:rPr>
      <w:rFonts w:ascii="Arial" w:hAnsi="Arial" w:eastAsia="黑体" w:cs="Times New Roman"/>
      <w:b/>
      <w:bCs/>
      <w:sz w:val="24"/>
      <w:szCs w:val="24"/>
    </w:rPr>
  </w:style>
  <w:style w:type="character" w:customStyle="1" w:styleId="45">
    <w:name w:val="标题 7 字符"/>
    <w:link w:val="8"/>
    <w:qFormat/>
    <w:uiPriority w:val="0"/>
    <w:rPr>
      <w:rFonts w:ascii="Times New Roman" w:hAnsi="Times New Roman" w:eastAsia="宋体" w:cs="Times New Roman"/>
      <w:b/>
      <w:bCs/>
      <w:sz w:val="24"/>
      <w:szCs w:val="24"/>
    </w:rPr>
  </w:style>
  <w:style w:type="character" w:customStyle="1" w:styleId="46">
    <w:name w:val="标题 8 字符"/>
    <w:link w:val="9"/>
    <w:qFormat/>
    <w:uiPriority w:val="0"/>
    <w:rPr>
      <w:rFonts w:ascii="Arial" w:hAnsi="Arial" w:eastAsia="黑体" w:cs="Times New Roman"/>
      <w:sz w:val="24"/>
      <w:szCs w:val="24"/>
    </w:rPr>
  </w:style>
  <w:style w:type="character" w:customStyle="1" w:styleId="47">
    <w:name w:val="文档结构图 字符"/>
    <w:link w:val="11"/>
    <w:semiHidden/>
    <w:qFormat/>
    <w:uiPriority w:val="0"/>
    <w:rPr>
      <w:rFonts w:ascii="Times New Roman" w:hAnsi="Times New Roman" w:eastAsia="宋体" w:cs="Times New Roman"/>
      <w:szCs w:val="24"/>
      <w:shd w:val="clear" w:color="auto" w:fill="000080"/>
    </w:rPr>
  </w:style>
  <w:style w:type="character" w:customStyle="1" w:styleId="48">
    <w:name w:val="批注文字 字符"/>
    <w:link w:val="12"/>
    <w:semiHidden/>
    <w:qFormat/>
    <w:uiPriority w:val="99"/>
  </w:style>
  <w:style w:type="character" w:customStyle="1" w:styleId="49">
    <w:name w:val="正文文本 字符"/>
    <w:link w:val="13"/>
    <w:semiHidden/>
    <w:qFormat/>
    <w:uiPriority w:val="99"/>
  </w:style>
  <w:style w:type="character" w:customStyle="1" w:styleId="50">
    <w:name w:val="正文文本缩进 字符"/>
    <w:link w:val="14"/>
    <w:qFormat/>
    <w:uiPriority w:val="0"/>
    <w:rPr>
      <w:rFonts w:ascii="方正仿宋_GB2312" w:eastAsia="方正仿宋_GB2312"/>
      <w:sz w:val="32"/>
      <w:szCs w:val="24"/>
    </w:rPr>
  </w:style>
  <w:style w:type="character" w:customStyle="1" w:styleId="51">
    <w:name w:val="纯文本 字符"/>
    <w:link w:val="17"/>
    <w:qFormat/>
    <w:uiPriority w:val="0"/>
    <w:rPr>
      <w:rFonts w:ascii="宋体" w:hAnsi="Courier New" w:eastAsia="宋体" w:cs="Times New Roman"/>
      <w:szCs w:val="21"/>
    </w:rPr>
  </w:style>
  <w:style w:type="character" w:customStyle="1" w:styleId="52">
    <w:name w:val="日期 字符"/>
    <w:link w:val="18"/>
    <w:qFormat/>
    <w:uiPriority w:val="0"/>
    <w:rPr>
      <w:rFonts w:ascii="Times New Roman" w:hAnsi="Times New Roman" w:eastAsia="宋体" w:cs="Times New Roman"/>
      <w:szCs w:val="24"/>
    </w:rPr>
  </w:style>
  <w:style w:type="character" w:customStyle="1" w:styleId="53">
    <w:name w:val="正文文本缩进 2 字符"/>
    <w:link w:val="19"/>
    <w:qFormat/>
    <w:uiPriority w:val="0"/>
    <w:rPr>
      <w:rFonts w:ascii="方正仿宋_GB2312" w:hAnsi="Times New Roman" w:eastAsia="方正仿宋_GB2312" w:cs="Times New Roman"/>
      <w:sz w:val="32"/>
      <w:szCs w:val="24"/>
    </w:rPr>
  </w:style>
  <w:style w:type="character" w:customStyle="1" w:styleId="54">
    <w:name w:val="批注框文本 字符"/>
    <w:link w:val="20"/>
    <w:semiHidden/>
    <w:qFormat/>
    <w:uiPriority w:val="0"/>
    <w:rPr>
      <w:rFonts w:ascii="Times New Roman" w:hAnsi="Times New Roman" w:eastAsia="宋体" w:cs="Times New Roman"/>
      <w:sz w:val="18"/>
      <w:szCs w:val="18"/>
    </w:rPr>
  </w:style>
  <w:style w:type="character" w:customStyle="1" w:styleId="55">
    <w:name w:val="页脚 字符"/>
    <w:link w:val="21"/>
    <w:qFormat/>
    <w:uiPriority w:val="99"/>
    <w:rPr>
      <w:sz w:val="18"/>
      <w:szCs w:val="18"/>
    </w:rPr>
  </w:style>
  <w:style w:type="character" w:customStyle="1" w:styleId="56">
    <w:name w:val="页眉 字符"/>
    <w:link w:val="22"/>
    <w:qFormat/>
    <w:uiPriority w:val="99"/>
    <w:rPr>
      <w:sz w:val="18"/>
      <w:szCs w:val="18"/>
    </w:rPr>
  </w:style>
  <w:style w:type="character" w:customStyle="1" w:styleId="57">
    <w:name w:val="正文文本缩进 3 字符"/>
    <w:link w:val="24"/>
    <w:qFormat/>
    <w:uiPriority w:val="0"/>
    <w:rPr>
      <w:rFonts w:ascii="方正仿宋_GB2312" w:hAnsi="Times New Roman" w:eastAsia="方正仿宋_GB2312" w:cs="Times New Roman"/>
      <w:sz w:val="30"/>
      <w:szCs w:val="24"/>
    </w:rPr>
  </w:style>
  <w:style w:type="character" w:customStyle="1" w:styleId="58">
    <w:name w:val="正文文本 2 字符"/>
    <w:link w:val="26"/>
    <w:qFormat/>
    <w:uiPriority w:val="0"/>
    <w:rPr>
      <w:rFonts w:ascii="方正仿宋_GB2312" w:hAnsi="Times New Roman" w:eastAsia="方正仿宋_GB2312" w:cs="Times New Roman"/>
      <w:sz w:val="30"/>
      <w:szCs w:val="24"/>
    </w:rPr>
  </w:style>
  <w:style w:type="character" w:customStyle="1" w:styleId="59">
    <w:name w:val="HTML 预设格式 字符"/>
    <w:link w:val="27"/>
    <w:qFormat/>
    <w:uiPriority w:val="0"/>
    <w:rPr>
      <w:rFonts w:ascii="宋体" w:hAnsi="宋体" w:eastAsia="宋体" w:cs="宋体"/>
      <w:color w:val="000000"/>
      <w:kern w:val="0"/>
      <w:szCs w:val="21"/>
    </w:rPr>
  </w:style>
  <w:style w:type="character" w:customStyle="1" w:styleId="60">
    <w:name w:val="批注主题 字符"/>
    <w:link w:val="29"/>
    <w:semiHidden/>
    <w:qFormat/>
    <w:uiPriority w:val="0"/>
    <w:rPr>
      <w:rFonts w:ascii="Times New Roman" w:hAnsi="Times New Roman" w:eastAsia="宋体" w:cs="Times New Roman"/>
      <w:b/>
      <w:bCs/>
      <w:szCs w:val="24"/>
    </w:rPr>
  </w:style>
  <w:style w:type="character" w:customStyle="1" w:styleId="61">
    <w:name w:val="正文文本首行缩进 字符"/>
    <w:link w:val="30"/>
    <w:qFormat/>
    <w:uiPriority w:val="0"/>
    <w:rPr>
      <w:rFonts w:ascii="Times New Roman" w:hAnsi="Times New Roman" w:eastAsia="宋体" w:cs="Times New Roman"/>
      <w:szCs w:val="24"/>
    </w:rPr>
  </w:style>
  <w:style w:type="paragraph" w:customStyle="1" w:styleId="62">
    <w:name w:val="正文（缩进）"/>
    <w:basedOn w:val="1"/>
    <w:qFormat/>
    <w:uiPriority w:val="0"/>
    <w:pPr>
      <w:ind w:firstLine="480" w:firstLineChars="200"/>
    </w:pPr>
  </w:style>
  <w:style w:type="character" w:customStyle="1" w:styleId="63">
    <w:name w:val="标题 2 Char_0"/>
    <w:link w:val="64"/>
    <w:semiHidden/>
    <w:qFormat/>
    <w:uiPriority w:val="0"/>
    <w:rPr>
      <w:rFonts w:ascii="Arial" w:hAnsi="Arial" w:eastAsia="黑体" w:cs="Times New Roman"/>
      <w:b/>
      <w:bCs/>
      <w:kern w:val="0"/>
      <w:sz w:val="32"/>
      <w:szCs w:val="32"/>
    </w:rPr>
  </w:style>
  <w:style w:type="paragraph" w:customStyle="1" w:styleId="64">
    <w:name w:val="标题 2_0"/>
    <w:basedOn w:val="65"/>
    <w:next w:val="65"/>
    <w:link w:val="63"/>
    <w:unhideWhenUsed/>
    <w:qFormat/>
    <w:uiPriority w:val="0"/>
    <w:pPr>
      <w:keepNext/>
      <w:keepLines/>
      <w:spacing w:before="260" w:after="260" w:line="410" w:lineRule="auto"/>
      <w:jc w:val="center"/>
      <w:outlineLvl w:val="1"/>
    </w:pPr>
    <w:rPr>
      <w:rFonts w:ascii="Arial" w:hAnsi="Arial" w:eastAsia="黑体"/>
      <w:b/>
      <w:bCs/>
      <w:kern w:val="0"/>
      <w:sz w:val="32"/>
      <w:szCs w:val="32"/>
    </w:rPr>
  </w:style>
  <w:style w:type="paragraph" w:customStyle="1" w:styleId="65">
    <w:name w:val="正文_1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6">
    <w:name w:val="style3"/>
    <w:qFormat/>
    <w:uiPriority w:val="0"/>
  </w:style>
  <w:style w:type="character" w:customStyle="1" w:styleId="67">
    <w:name w:val="Default Char"/>
    <w:link w:val="68"/>
    <w:qFormat/>
    <w:uiPriority w:val="0"/>
    <w:rPr>
      <w:rFonts w:ascii="宋体" w:cs="宋体"/>
      <w:color w:val="000000"/>
      <w:kern w:val="2"/>
      <w:sz w:val="24"/>
      <w:szCs w:val="24"/>
      <w:lang w:val="en-US" w:eastAsia="zh-CN" w:bidi="ar-SA"/>
    </w:rPr>
  </w:style>
  <w:style w:type="paragraph" w:customStyle="1" w:styleId="68">
    <w:name w:val="Default"/>
    <w:link w:val="67"/>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character" w:customStyle="1" w:styleId="69">
    <w:name w:val="Char Char2"/>
    <w:qFormat/>
    <w:uiPriority w:val="0"/>
    <w:rPr>
      <w:kern w:val="2"/>
      <w:sz w:val="18"/>
      <w:szCs w:val="18"/>
    </w:rPr>
  </w:style>
  <w:style w:type="character" w:customStyle="1" w:styleId="70">
    <w:name w:val="正文文本缩进 Char1"/>
    <w:semiHidden/>
    <w:qFormat/>
    <w:uiPriority w:val="99"/>
  </w:style>
  <w:style w:type="character" w:customStyle="1" w:styleId="71">
    <w:name w:val="Footer Char1"/>
    <w:qFormat/>
    <w:uiPriority w:val="0"/>
    <w:rPr>
      <w:rFonts w:cs="Times New Roman"/>
      <w:sz w:val="18"/>
      <w:szCs w:val="18"/>
      <w:lang w:bidi="ar-SA"/>
    </w:rPr>
  </w:style>
  <w:style w:type="character" w:customStyle="1" w:styleId="72">
    <w:name w:val="纯文本 Char_0_0"/>
    <w:link w:val="73"/>
    <w:qFormat/>
    <w:uiPriority w:val="0"/>
    <w:rPr>
      <w:rFonts w:ascii="宋体" w:hAnsi="Courier New" w:eastAsia="宋体" w:cs="Times New Roman"/>
      <w:kern w:val="0"/>
      <w:sz w:val="20"/>
      <w:szCs w:val="21"/>
    </w:rPr>
  </w:style>
  <w:style w:type="paragraph" w:customStyle="1" w:styleId="73">
    <w:name w:val="纯文本_0_0"/>
    <w:basedOn w:val="74"/>
    <w:link w:val="72"/>
    <w:unhideWhenUsed/>
    <w:qFormat/>
    <w:uiPriority w:val="0"/>
    <w:rPr>
      <w:rFonts w:ascii="宋体" w:hAnsi="Courier New"/>
      <w:kern w:val="0"/>
      <w:sz w:val="20"/>
      <w:szCs w:val="21"/>
    </w:rPr>
  </w:style>
  <w:style w:type="paragraph" w:customStyle="1" w:styleId="74">
    <w:name w:val="正文_7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EmailStyle88"/>
    <w:qFormat/>
    <w:uiPriority w:val="0"/>
    <w:rPr>
      <w:rFonts w:ascii="Arial" w:hAnsi="Arial" w:eastAsia="宋体" w:cs="Arial"/>
      <w:color w:val="auto"/>
      <w:sz w:val="20"/>
    </w:rPr>
  </w:style>
  <w:style w:type="character" w:customStyle="1" w:styleId="76">
    <w:name w:val="grame"/>
    <w:qFormat/>
    <w:uiPriority w:val="0"/>
  </w:style>
  <w:style w:type="character" w:customStyle="1" w:styleId="77">
    <w:name w:val="Heading 4 Char"/>
    <w:qFormat/>
    <w:uiPriority w:val="0"/>
    <w:rPr>
      <w:rFonts w:ascii="Cambria" w:hAnsi="Cambria" w:eastAsia="宋体" w:cs="Cambria"/>
      <w:b/>
      <w:bCs/>
      <w:sz w:val="28"/>
      <w:szCs w:val="28"/>
      <w:lang w:bidi="ar-SA"/>
    </w:rPr>
  </w:style>
  <w:style w:type="character" w:customStyle="1" w:styleId="78">
    <w:name w:val="标题 2 Char_0_0"/>
    <w:link w:val="79"/>
    <w:qFormat/>
    <w:uiPriority w:val="1"/>
    <w:rPr>
      <w:rFonts w:ascii="黑体" w:hAnsi="黑体" w:eastAsia="黑体" w:cs="Times New Roman"/>
      <w:b/>
      <w:bCs/>
      <w:kern w:val="0"/>
      <w:sz w:val="32"/>
      <w:szCs w:val="32"/>
      <w:lang w:eastAsia="en-US"/>
    </w:rPr>
  </w:style>
  <w:style w:type="paragraph" w:customStyle="1" w:styleId="79">
    <w:name w:val="标题 21"/>
    <w:basedOn w:val="80"/>
    <w:next w:val="80"/>
    <w:link w:val="78"/>
    <w:qFormat/>
    <w:uiPriority w:val="1"/>
    <w:pPr>
      <w:spacing w:before="5"/>
      <w:ind w:left="109"/>
      <w:jc w:val="left"/>
      <w:outlineLvl w:val="1"/>
    </w:pPr>
    <w:rPr>
      <w:rFonts w:ascii="黑体" w:hAnsi="黑体" w:eastAsia="黑体"/>
      <w:b/>
      <w:bCs/>
      <w:sz w:val="32"/>
      <w:szCs w:val="32"/>
      <w:lang w:eastAsia="en-US"/>
    </w:rPr>
  </w:style>
  <w:style w:type="paragraph" w:customStyle="1" w:styleId="80">
    <w:name w:val="正文1"/>
    <w:qFormat/>
    <w:uiPriority w:val="0"/>
    <w:pPr>
      <w:widowControl w:val="0"/>
      <w:jc w:val="both"/>
    </w:pPr>
    <w:rPr>
      <w:rFonts w:ascii="Times New Roman" w:hAnsi="Times New Roman" w:eastAsia="宋体" w:cs="Times New Roman"/>
      <w:lang w:val="en-US" w:eastAsia="zh-CN" w:bidi="ar-SA"/>
    </w:rPr>
  </w:style>
  <w:style w:type="character" w:customStyle="1" w:styleId="81">
    <w:name w:val="正文缩进 Char1_0_0"/>
    <w:link w:val="82"/>
    <w:qFormat/>
    <w:locked/>
    <w:uiPriority w:val="0"/>
    <w:rPr>
      <w:rFonts w:ascii="Times New Roman" w:hAnsi="Times New Roman" w:eastAsia="宋体" w:cs="Times New Roman"/>
      <w:kern w:val="0"/>
      <w:sz w:val="20"/>
      <w:szCs w:val="20"/>
    </w:rPr>
  </w:style>
  <w:style w:type="paragraph" w:customStyle="1" w:styleId="82">
    <w:name w:val="正文缩进_0_0"/>
    <w:basedOn w:val="74"/>
    <w:link w:val="81"/>
    <w:unhideWhenUsed/>
    <w:qFormat/>
    <w:uiPriority w:val="0"/>
    <w:pPr>
      <w:ind w:firstLine="420" w:firstLineChars="200"/>
    </w:pPr>
    <w:rPr>
      <w:kern w:val="0"/>
      <w:sz w:val="20"/>
      <w:szCs w:val="20"/>
    </w:rPr>
  </w:style>
  <w:style w:type="character" w:customStyle="1" w:styleId="83">
    <w:name w:val="ca-18"/>
    <w:qFormat/>
    <w:uiPriority w:val="0"/>
  </w:style>
  <w:style w:type="paragraph" w:customStyle="1" w:styleId="84">
    <w:name w:val="正文1_0"/>
    <w:qFormat/>
    <w:uiPriority w:val="0"/>
    <w:pPr>
      <w:widowControl w:val="0"/>
      <w:jc w:val="both"/>
    </w:pPr>
    <w:rPr>
      <w:rFonts w:ascii="Times New Roman" w:hAnsi="Times New Roman" w:eastAsia="宋体" w:cs="Times New Roman"/>
      <w:szCs w:val="24"/>
      <w:lang w:val="en-US" w:eastAsia="zh-CN" w:bidi="ar-SA"/>
    </w:rPr>
  </w:style>
  <w:style w:type="paragraph" w:customStyle="1" w:styleId="85">
    <w:name w:val="Char Char Char Char Char Char Char Char Char Char"/>
    <w:basedOn w:val="1"/>
    <w:qFormat/>
    <w:uiPriority w:val="0"/>
    <w:rPr>
      <w:rFonts w:ascii="Tahoma" w:hAnsi="Tahoma"/>
      <w:sz w:val="24"/>
      <w:szCs w:val="20"/>
    </w:rPr>
  </w:style>
  <w:style w:type="paragraph" w:customStyle="1" w:styleId="86">
    <w:name w:val="xl34"/>
    <w:basedOn w:val="1"/>
    <w:qFormat/>
    <w:uiPriority w:val="0"/>
    <w:pPr>
      <w:widowControl/>
      <w:spacing w:before="100" w:beforeAutospacing="1" w:after="100" w:afterAutospacing="1"/>
      <w:jc w:val="center"/>
    </w:pPr>
    <w:rPr>
      <w:rFonts w:ascii="Wonder Arial" w:hAnsi="Wonder Arial" w:eastAsia="Wonder Arial"/>
      <w:kern w:val="0"/>
      <w:sz w:val="24"/>
      <w:szCs w:val="24"/>
    </w:rPr>
  </w:style>
  <w:style w:type="paragraph" w:customStyle="1" w:styleId="87">
    <w:name w:val="Char1"/>
    <w:basedOn w:val="1"/>
    <w:qFormat/>
    <w:uiPriority w:val="0"/>
    <w:pPr>
      <w:tabs>
        <w:tab w:val="left" w:pos="360"/>
      </w:tabs>
      <w:spacing w:line="480" w:lineRule="auto"/>
      <w:ind w:left="360" w:right="202" w:firstLine="360"/>
    </w:pPr>
    <w:rPr>
      <w:sz w:val="24"/>
      <w:szCs w:val="24"/>
    </w:rPr>
  </w:style>
  <w:style w:type="paragraph" w:customStyle="1" w:styleId="88">
    <w:name w:val="Char Char Char"/>
    <w:basedOn w:val="1"/>
    <w:qFormat/>
    <w:uiPriority w:val="0"/>
    <w:rPr>
      <w:rFonts w:ascii="Tahoma" w:hAnsi="Tahoma"/>
      <w:sz w:val="24"/>
      <w:szCs w:val="20"/>
    </w:rPr>
  </w:style>
  <w:style w:type="paragraph" w:customStyle="1" w:styleId="89">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Char11"/>
    <w:basedOn w:val="1"/>
    <w:qFormat/>
    <w:uiPriority w:val="0"/>
    <w:rPr>
      <w:rFonts w:ascii="Tahoma" w:hAnsi="Tahoma"/>
      <w:sz w:val="24"/>
      <w:szCs w:val="20"/>
    </w:rPr>
  </w:style>
  <w:style w:type="paragraph" w:customStyle="1" w:styleId="91">
    <w:name w:val="小条"/>
    <w:basedOn w:val="1"/>
    <w:qFormat/>
    <w:uiPriority w:val="0"/>
    <w:pPr>
      <w:spacing w:before="60" w:line="360" w:lineRule="exact"/>
    </w:pPr>
    <w:rPr>
      <w:rFonts w:ascii="黑体"/>
      <w:szCs w:val="20"/>
    </w:rPr>
  </w:style>
  <w:style w:type="paragraph" w:customStyle="1" w:styleId="92">
    <w:name w:val="普通正文"/>
    <w:basedOn w:val="1"/>
    <w:qFormat/>
    <w:uiPriority w:val="0"/>
    <w:pPr>
      <w:adjustRightInd w:val="0"/>
      <w:ind w:firstLine="425"/>
      <w:jc w:val="left"/>
      <w:textAlignment w:val="baseline"/>
    </w:pPr>
    <w:rPr>
      <w:rFonts w:ascii="宋体"/>
      <w:kern w:val="0"/>
      <w:sz w:val="20"/>
      <w:szCs w:val="24"/>
    </w:rPr>
  </w:style>
  <w:style w:type="paragraph" w:customStyle="1" w:styleId="93">
    <w:name w:val="特点"/>
    <w:basedOn w:val="1"/>
    <w:qFormat/>
    <w:uiPriority w:val="0"/>
    <w:pPr>
      <w:spacing w:line="360" w:lineRule="auto"/>
      <w:jc w:val="center"/>
    </w:pPr>
    <w:rPr>
      <w:rFonts w:ascii="Arial" w:hAnsi="Arial"/>
      <w:sz w:val="24"/>
      <w:szCs w:val="20"/>
    </w:rPr>
  </w:style>
  <w:style w:type="paragraph" w:customStyle="1" w:styleId="9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普通(网站)1"/>
    <w:basedOn w:val="80"/>
    <w:unhideWhenUsed/>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96">
    <w:name w:val="Char12"/>
    <w:basedOn w:val="1"/>
    <w:qFormat/>
    <w:uiPriority w:val="0"/>
    <w:rPr>
      <w:szCs w:val="24"/>
    </w:rPr>
  </w:style>
  <w:style w:type="paragraph" w:customStyle="1" w:styleId="97">
    <w:name w:val="Normal_0"/>
    <w:qFormat/>
    <w:uiPriority w:val="0"/>
    <w:rPr>
      <w:rFonts w:ascii="Times New Roman" w:hAnsi="Times New Roman" w:eastAsia="宋体" w:cs="Times New Roman"/>
      <w:sz w:val="24"/>
      <w:szCs w:val="24"/>
      <w:lang w:val="en-US" w:eastAsia="zh-CN" w:bidi="ar-SA"/>
    </w:rPr>
  </w:style>
  <w:style w:type="paragraph" w:customStyle="1" w:styleId="98">
    <w:name w:val="项目"/>
    <w:basedOn w:val="1"/>
    <w:qFormat/>
    <w:uiPriority w:val="0"/>
    <w:pPr>
      <w:tabs>
        <w:tab w:val="left" w:pos="840"/>
      </w:tabs>
      <w:adjustRightInd w:val="0"/>
      <w:spacing w:before="60" w:after="60" w:line="360" w:lineRule="auto"/>
      <w:ind w:left="840" w:hanging="420"/>
      <w:textAlignment w:val="baseline"/>
    </w:pPr>
    <w:rPr>
      <w:rFonts w:ascii="宋体"/>
      <w:kern w:val="0"/>
      <w:szCs w:val="24"/>
    </w:rPr>
  </w:style>
  <w:style w:type="paragraph" w:customStyle="1" w:styleId="99">
    <w:name w:val="Char"/>
    <w:basedOn w:val="1"/>
    <w:qFormat/>
    <w:uiPriority w:val="0"/>
    <w:pPr>
      <w:tabs>
        <w:tab w:val="left" w:pos="360"/>
      </w:tabs>
    </w:pPr>
    <w:rPr>
      <w:sz w:val="24"/>
      <w:szCs w:val="24"/>
    </w:rPr>
  </w:style>
  <w:style w:type="paragraph" w:customStyle="1" w:styleId="100">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101">
    <w:name w:val="纯文本1"/>
    <w:basedOn w:val="84"/>
    <w:qFormat/>
    <w:uiPriority w:val="0"/>
    <w:rPr>
      <w:rFonts w:ascii="宋体" w:hAnsi="Courier New" w:eastAsia="Times New Roman"/>
      <w:kern w:val="2"/>
      <w:sz w:val="21"/>
      <w:szCs w:val="21"/>
    </w:rPr>
  </w:style>
  <w:style w:type="paragraph" w:customStyle="1" w:styleId="10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Normal_0_3"/>
    <w:qFormat/>
    <w:uiPriority w:val="0"/>
    <w:rPr>
      <w:rFonts w:ascii="黑体" w:hAnsi="黑体" w:eastAsia="黑体" w:cs="Times New Roman"/>
      <w:b/>
      <w:sz w:val="32"/>
      <w:szCs w:val="24"/>
      <w:lang w:val="en-US" w:eastAsia="zh-CN" w:bidi="ar-SA"/>
    </w:rPr>
  </w:style>
  <w:style w:type="paragraph" w:customStyle="1" w:styleId="104">
    <w:name w:val="Normal_2"/>
    <w:qFormat/>
    <w:uiPriority w:val="0"/>
    <w:pPr>
      <w:widowControl w:val="0"/>
      <w:jc w:val="both"/>
    </w:pPr>
    <w:rPr>
      <w:rFonts w:ascii="Times New Roman" w:hAnsi="Times New Roman" w:eastAsia="宋体" w:cs="Times New Roman"/>
      <w:lang w:val="en-US" w:eastAsia="zh-CN" w:bidi="ar-SA"/>
    </w:rPr>
  </w:style>
  <w:style w:type="paragraph" w:customStyle="1" w:styleId="105">
    <w:name w:val="列出段落1_0"/>
    <w:basedOn w:val="106"/>
    <w:qFormat/>
    <w:uiPriority w:val="0"/>
    <w:pPr>
      <w:ind w:firstLine="200" w:firstLineChars="200"/>
    </w:pPr>
    <w:rPr>
      <w:rFonts w:eastAsia="Times New Roman"/>
    </w:rPr>
  </w:style>
  <w:style w:type="paragraph" w:customStyle="1" w:styleId="106">
    <w:name w:val="正文1_1"/>
    <w:qFormat/>
    <w:uiPriority w:val="0"/>
    <w:pPr>
      <w:widowControl w:val="0"/>
      <w:jc w:val="both"/>
    </w:pPr>
    <w:rPr>
      <w:rFonts w:ascii="Times New Roman" w:hAnsi="Times New Roman" w:eastAsia="宋体" w:cs="Times New Roman"/>
      <w:lang w:val="en-US" w:eastAsia="zh-CN" w:bidi="ar-SA"/>
    </w:rPr>
  </w:style>
  <w:style w:type="paragraph" w:customStyle="1" w:styleId="107">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
    <w:name w:val="正文文本缩进 21"/>
    <w:basedOn w:val="97"/>
    <w:qFormat/>
    <w:uiPriority w:val="0"/>
    <w:pPr>
      <w:widowControl w:val="0"/>
      <w:spacing w:line="540" w:lineRule="exact"/>
      <w:ind w:firstLine="225" w:firstLineChars="225"/>
    </w:pPr>
    <w:rPr>
      <w:rFonts w:ascii="方正仿宋_GB2312" w:eastAsia="方正仿宋_GB2312"/>
      <w:sz w:val="32"/>
    </w:rPr>
  </w:style>
  <w:style w:type="paragraph" w:customStyle="1" w:styleId="110">
    <w:name w:val="样式 小四 段前: 5 磅 段后: 5 磅 首行缩进:  2 字符"/>
    <w:basedOn w:val="1"/>
    <w:qFormat/>
    <w:uiPriority w:val="0"/>
    <w:pPr>
      <w:spacing w:line="360" w:lineRule="auto"/>
      <w:jc w:val="center"/>
    </w:pPr>
    <w:rPr>
      <w:rFonts w:ascii="宋体" w:hAnsi="宋体"/>
      <w:bCs/>
      <w:color w:val="FF0000"/>
      <w:sz w:val="24"/>
      <w:szCs w:val="24"/>
    </w:rPr>
  </w:style>
  <w:style w:type="paragraph" w:customStyle="1" w:styleId="111">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正文2_0"/>
    <w:qFormat/>
    <w:uiPriority w:val="0"/>
    <w:pPr>
      <w:widowControl w:val="0"/>
      <w:jc w:val="both"/>
    </w:pPr>
    <w:rPr>
      <w:rFonts w:ascii="Times New Roman" w:hAnsi="Times New Roman" w:eastAsia="宋体" w:cs="Times New Roman"/>
      <w:szCs w:val="24"/>
      <w:lang w:val="en-US" w:eastAsia="zh-CN" w:bidi="ar-SA"/>
    </w:rPr>
  </w:style>
  <w:style w:type="paragraph" w:customStyle="1" w:styleId="113">
    <w:name w:val="Normal_7_0"/>
    <w:qFormat/>
    <w:uiPriority w:val="0"/>
    <w:rPr>
      <w:rFonts w:ascii="黑体" w:hAnsi="黑体" w:eastAsia="黑体" w:cs="Times New Roman"/>
      <w:b/>
      <w:sz w:val="32"/>
      <w:szCs w:val="24"/>
      <w:lang w:val="en-US" w:eastAsia="zh-CN" w:bidi="ar-SA"/>
    </w:rPr>
  </w:style>
  <w:style w:type="paragraph" w:customStyle="1" w:styleId="114">
    <w:name w:val="Default_0"/>
    <w:qFormat/>
    <w:uiPriority w:val="0"/>
    <w:pPr>
      <w:widowControl w:val="0"/>
      <w:autoSpaceDE w:val="0"/>
      <w:autoSpaceDN w:val="0"/>
      <w:adjustRightInd w:val="0"/>
    </w:pPr>
    <w:rPr>
      <w:rFonts w:ascii="宋体" w:hAnsi="宋体" w:eastAsia="Times New Roman" w:cs="Times New Roman"/>
      <w:color w:val="000000"/>
      <w:sz w:val="24"/>
      <w:szCs w:val="24"/>
      <w:lang w:val="en-US" w:eastAsia="zh-CN" w:bidi="ar-SA"/>
    </w:rPr>
  </w:style>
  <w:style w:type="paragraph" w:customStyle="1" w:styleId="115">
    <w:name w:val="Normal_20_0"/>
    <w:qFormat/>
    <w:uiPriority w:val="0"/>
    <w:pPr>
      <w:widowControl w:val="0"/>
      <w:jc w:val="both"/>
    </w:pPr>
    <w:rPr>
      <w:rFonts w:ascii="Times New Roman" w:hAnsi="Times New Roman" w:eastAsia="宋体" w:cs="Times New Roman"/>
      <w:lang w:val="en-US" w:eastAsia="zh-CN" w:bidi="ar-SA"/>
    </w:rPr>
  </w:style>
  <w:style w:type="paragraph" w:customStyle="1" w:styleId="116">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17">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文本缩进 2_0"/>
    <w:basedOn w:val="65"/>
    <w:unhideWhenUsed/>
    <w:qFormat/>
    <w:uiPriority w:val="0"/>
    <w:pPr>
      <w:spacing w:line="540" w:lineRule="exact"/>
      <w:ind w:firstLine="225" w:firstLineChars="225"/>
      <w:jc w:val="left"/>
    </w:pPr>
    <w:rPr>
      <w:rFonts w:ascii="方正仿宋_GB2312" w:hAnsi="Calibri" w:eastAsia="方正仿宋_GB2312"/>
      <w:kern w:val="0"/>
      <w:sz w:val="32"/>
      <w:szCs w:val="24"/>
    </w:rPr>
  </w:style>
  <w:style w:type="paragraph" w:customStyle="1" w:styleId="120">
    <w:name w:val="Normal_18"/>
    <w:qFormat/>
    <w:uiPriority w:val="0"/>
    <w:rPr>
      <w:rFonts w:ascii="黑体" w:hAnsi="黑体" w:eastAsia="黑体" w:cs="Times New Roman"/>
      <w:b/>
      <w:sz w:val="32"/>
      <w:szCs w:val="24"/>
      <w:lang w:val="en-US" w:eastAsia="zh-CN" w:bidi="ar-SA"/>
    </w:rPr>
  </w:style>
  <w:style w:type="paragraph" w:customStyle="1" w:styleId="121">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122">
    <w:name w:val="Normal_0_1"/>
    <w:qFormat/>
    <w:uiPriority w:val="0"/>
    <w:pPr>
      <w:adjustRightInd w:val="0"/>
      <w:snapToGrid w:val="0"/>
    </w:pPr>
    <w:rPr>
      <w:rFonts w:ascii="Tahoma" w:hAnsi="Tahoma" w:eastAsia="微软雅黑" w:cs="Times New Roman"/>
      <w:lang w:val="en-US" w:eastAsia="zh-CN" w:bidi="ar-SA"/>
    </w:rPr>
  </w:style>
  <w:style w:type="paragraph" w:customStyle="1" w:styleId="123">
    <w:name w:val="正文_1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正文_9"/>
    <w:qFormat/>
    <w:uiPriority w:val="0"/>
    <w:pPr>
      <w:widowControl w:val="0"/>
      <w:jc w:val="both"/>
    </w:pPr>
    <w:rPr>
      <w:rFonts w:ascii="Times New Roman" w:hAnsi="Times New Roman" w:eastAsia="宋体" w:cs="Times New Roman"/>
      <w:lang w:val="en-US" w:eastAsia="zh-CN" w:bidi="ar-SA"/>
    </w:rPr>
  </w:style>
  <w:style w:type="paragraph" w:customStyle="1" w:styleId="125">
    <w:name w:val="Normal_14"/>
    <w:qFormat/>
    <w:uiPriority w:val="0"/>
    <w:pPr>
      <w:widowControl w:val="0"/>
      <w:jc w:val="both"/>
    </w:pPr>
    <w:rPr>
      <w:rFonts w:ascii="Times New Roman" w:hAnsi="Times New Roman" w:eastAsia="Times New Roman" w:cs="Times New Roman"/>
      <w:lang w:val="en-US" w:eastAsia="zh-CN" w:bidi="ar-SA"/>
    </w:rPr>
  </w:style>
  <w:style w:type="paragraph" w:customStyle="1" w:styleId="12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7">
    <w:name w:val="正文_0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Normal_0_2"/>
    <w:qFormat/>
    <w:uiPriority w:val="0"/>
    <w:pPr>
      <w:adjustRightInd w:val="0"/>
      <w:snapToGrid w:val="0"/>
    </w:pPr>
    <w:rPr>
      <w:rFonts w:ascii="Tahoma" w:hAnsi="Tahoma" w:eastAsia="微软雅黑" w:cs="Times New Roman"/>
      <w:lang w:val="en-US" w:eastAsia="zh-CN" w:bidi="ar-SA"/>
    </w:rPr>
  </w:style>
  <w:style w:type="paragraph" w:customStyle="1" w:styleId="129">
    <w:name w:val="正文_1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2">
    <w:name w:val="正文_6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3">
    <w:name w:val="正文_9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4">
    <w:name w:val="正文2"/>
    <w:qFormat/>
    <w:uiPriority w:val="0"/>
    <w:pPr>
      <w:widowControl w:val="0"/>
      <w:jc w:val="both"/>
    </w:pPr>
    <w:rPr>
      <w:rFonts w:ascii="Times New Roman" w:hAnsi="Times New Roman" w:eastAsia="Times New Roman" w:cs="Times New Roman"/>
      <w:sz w:val="24"/>
      <w:szCs w:val="24"/>
      <w:lang w:val="en-US" w:eastAsia="zh-CN" w:bidi="ar-SA"/>
    </w:rPr>
  </w:style>
  <w:style w:type="paragraph" w:styleId="135">
    <w:name w:val="List Paragraph"/>
    <w:basedOn w:val="1"/>
    <w:qFormat/>
    <w:uiPriority w:val="34"/>
    <w:pPr>
      <w:ind w:firstLine="420" w:firstLineChars="200"/>
    </w:pPr>
    <w:rPr>
      <w:rFonts w:ascii="Calibri" w:hAnsi="Calibri"/>
    </w:rPr>
  </w:style>
  <w:style w:type="paragraph" w:customStyle="1" w:styleId="136">
    <w:name w:val="列出段落1"/>
    <w:basedOn w:val="1"/>
    <w:qFormat/>
    <w:uiPriority w:val="0"/>
    <w:pPr>
      <w:widowControl/>
      <w:ind w:left="720"/>
      <w:jc w:val="left"/>
    </w:pPr>
    <w:rPr>
      <w:rFonts w:ascii="Cambria" w:hAnsi="Cambria" w:eastAsia="华文细黑" w:cs="Symbol"/>
      <w:kern w:val="0"/>
      <w:sz w:val="24"/>
      <w:szCs w:val="24"/>
      <w:lang w:eastAsia="en-US"/>
    </w:rPr>
  </w:style>
  <w:style w:type="paragraph" w:customStyle="1" w:styleId="137">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Normal_1_1"/>
    <w:qFormat/>
    <w:uiPriority w:val="0"/>
    <w:rPr>
      <w:rFonts w:ascii="黑体" w:hAnsi="黑体" w:eastAsia="黑体" w:cs="Times New Roman"/>
      <w:b/>
      <w:sz w:val="32"/>
      <w:szCs w:val="24"/>
      <w:lang w:val="en-US" w:eastAsia="zh-CN" w:bidi="ar-SA"/>
    </w:rPr>
  </w:style>
  <w:style w:type="paragraph" w:customStyle="1" w:styleId="141">
    <w:name w:val="Normal_2_0"/>
    <w:qFormat/>
    <w:uiPriority w:val="0"/>
    <w:rPr>
      <w:rFonts w:ascii="黑体" w:hAnsi="黑体" w:eastAsia="黑体" w:cs="Times New Roman"/>
      <w:b/>
      <w:sz w:val="32"/>
      <w:szCs w:val="24"/>
      <w:lang w:val="en-US" w:eastAsia="zh-CN" w:bidi="ar-SA"/>
    </w:rPr>
  </w:style>
  <w:style w:type="paragraph" w:customStyle="1" w:styleId="142">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Normal_9_0"/>
    <w:qFormat/>
    <w:uiPriority w:val="0"/>
    <w:rPr>
      <w:rFonts w:ascii="黑体" w:hAnsi="黑体" w:eastAsia="黑体" w:cs="Times New Roman"/>
      <w:b/>
      <w:sz w:val="32"/>
      <w:szCs w:val="24"/>
      <w:lang w:val="en-US" w:eastAsia="zh-CN" w:bidi="ar-SA"/>
    </w:rPr>
  </w:style>
  <w:style w:type="paragraph" w:customStyle="1" w:styleId="146">
    <w:name w:val="Normal_10_0"/>
    <w:qFormat/>
    <w:uiPriority w:val="0"/>
    <w:rPr>
      <w:rFonts w:ascii="黑体" w:hAnsi="黑体" w:eastAsia="黑体" w:cs="Times New Roman"/>
      <w:b/>
      <w:sz w:val="32"/>
      <w:szCs w:val="24"/>
      <w:lang w:val="en-US" w:eastAsia="zh-CN" w:bidi="ar-SA"/>
    </w:rPr>
  </w:style>
  <w:style w:type="paragraph" w:customStyle="1" w:styleId="147">
    <w:name w:val="Normal_12_0"/>
    <w:qFormat/>
    <w:uiPriority w:val="0"/>
    <w:rPr>
      <w:rFonts w:ascii="黑体" w:hAnsi="黑体" w:eastAsia="黑体" w:cs="Times New Roman"/>
      <w:b/>
      <w:sz w:val="32"/>
      <w:szCs w:val="24"/>
      <w:lang w:val="en-US" w:eastAsia="zh-CN" w:bidi="ar-SA"/>
    </w:rPr>
  </w:style>
  <w:style w:type="paragraph" w:customStyle="1" w:styleId="148">
    <w:name w:val="正文_1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正文 A"/>
    <w:qFormat/>
    <w:uiPriority w:val="0"/>
    <w:pPr>
      <w:widowControl w:val="0"/>
      <w:jc w:val="both"/>
    </w:pPr>
    <w:rPr>
      <w:rFonts w:ascii="Times New Roman" w:hAnsi="Times New Roman" w:eastAsia="宋体" w:cs="Wonder Arial"/>
      <w:color w:val="000000"/>
      <w:kern w:val="2"/>
      <w:sz w:val="24"/>
      <w:szCs w:val="24"/>
      <w:u w:color="000000"/>
      <w:lang w:val="en-US" w:eastAsia="zh-CN" w:bidi="ar-SA"/>
    </w:rPr>
  </w:style>
  <w:style w:type="paragraph" w:customStyle="1" w:styleId="151">
    <w:name w:val="Normal_20"/>
    <w:qFormat/>
    <w:uiPriority w:val="0"/>
    <w:rPr>
      <w:rFonts w:ascii="Times New Roman" w:hAnsi="Times New Roman" w:eastAsia="Times New Roman" w:cs="Times New Roman"/>
      <w:sz w:val="24"/>
      <w:szCs w:val="24"/>
      <w:lang w:val="en-US" w:eastAsia="zh-CN" w:bidi="ar-SA"/>
    </w:rPr>
  </w:style>
  <w:style w:type="table" w:customStyle="1" w:styleId="152">
    <w:name w:val="Table Normal"/>
    <w:qFormat/>
    <w:uiPriority w:val="0"/>
    <w:tblPr>
      <w:tblCellMar>
        <w:top w:w="0" w:type="dxa"/>
        <w:left w:w="0" w:type="dxa"/>
        <w:bottom w:w="0" w:type="dxa"/>
        <w:right w:w="0" w:type="dxa"/>
      </w:tblCellMar>
    </w:tblPr>
  </w:style>
  <w:style w:type="paragraph" w:customStyle="1" w:styleId="153">
    <w:name w:val="二级目录"/>
    <w:next w:val="1"/>
    <w:qFormat/>
    <w:uiPriority w:val="0"/>
    <w:pPr>
      <w:tabs>
        <w:tab w:val="left" w:pos="720"/>
      </w:tabs>
      <w:outlineLvl w:val="1"/>
    </w:pPr>
    <w:rPr>
      <w:rFonts w:ascii="Times New Roman" w:hAnsi="Times New Roman" w:eastAsia="宋体" w:cs="Times New Roman"/>
      <w:b/>
      <w:kern w:val="2"/>
      <w:sz w:val="30"/>
      <w:szCs w:val="28"/>
      <w:lang w:val="en-US" w:eastAsia="zh-CN" w:bidi="ar-SA"/>
    </w:rPr>
  </w:style>
  <w:style w:type="paragraph" w:customStyle="1" w:styleId="154">
    <w:name w:val="正文1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55">
    <w:name w:val="正文文本11"/>
    <w:basedOn w:val="1"/>
    <w:qFormat/>
    <w:uiPriority w:val="0"/>
    <w:rPr>
      <w:rFonts w:ascii="方正楷体_GB2312" w:hAnsi="Arial" w:eastAsia="方正楷体_GB2312"/>
      <w:kern w:val="0"/>
      <w:sz w:val="28"/>
      <w:szCs w:val="28"/>
    </w:rPr>
  </w:style>
  <w:style w:type="paragraph" w:customStyle="1" w:styleId="156">
    <w:name w:val="正文空2格  1."/>
    <w:basedOn w:val="1"/>
    <w:qFormat/>
    <w:uiPriority w:val="0"/>
    <w:pPr>
      <w:ind w:firstLine="480" w:firstLineChars="200"/>
    </w:pPr>
    <w:rPr>
      <w:sz w:val="28"/>
      <w:szCs w:val="20"/>
    </w:rPr>
  </w:style>
  <w:style w:type="paragraph" w:customStyle="1" w:styleId="157">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11755</Words>
  <Characters>12038</Characters>
  <Lines>93</Lines>
  <Paragraphs>26</Paragraphs>
  <TotalTime>148</TotalTime>
  <ScaleCrop>false</ScaleCrop>
  <LinksUpToDate>false</LinksUpToDate>
  <CharactersWithSpaces>12533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2025-01-15T07:50:00Z</dcterms:created>
  <dc:creator>陈爱国</dc:creator>
  <cp:lastModifiedBy>王猛</cp:lastModifiedBy>
  <cp:lastPrinted>2024-12-04T01:51:00Z</cp:lastPrinted>
  <dcterms:modified xsi:type="dcterms:W3CDTF">2025-05-28T09:32:10Z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F5A42B05EB044827B3614360AA6F62DC_13</vt:lpwstr>
  </property>
  <property fmtid="{D5CDD505-2E9C-101B-9397-08002B2CF9AE}" pid="4" name="KSOTemplateDocerSaveRecord">
    <vt:lpwstr>eyJoZGlkIjoiOWU3ZDMzMjk0MTAwNjg1ZTgzYzkzNzRmYzMyZDE1NjEiLCJ1c2VySWQiOiIxNjQ5NTIwNDEzIn0=</vt:lpwstr>
  </property>
</Properties>
</file>